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pBdr/>
        <w:spacing w:lineRule="auto" w:line="276"/>
        <w:rPr/>
      </w:pPr>
      <w:r>
        <w:rPr/>
      </w:r>
    </w:p>
    <w:p>
      <w:pPr>
        <w:pStyle w:val="Normal"/>
        <w:spacing w:lineRule="auto" w:line="360"/>
        <w:jc w:val="center"/>
        <w:rPr>
          <w:rFonts w:ascii="Arial" w:hAnsi="Arial" w:eastAsia="Arial" w:cs="Arial"/>
          <w:b/>
          <w:b/>
        </w:rPr>
      </w:pPr>
      <w:r>
        <w:rPr>
          <w:rFonts w:eastAsia="Arial" w:cs="Arial" w:ascii="Arial" w:hAnsi="Arial"/>
          <w:b/>
          <w:i/>
        </w:rPr>
        <w:t>Termo de Referência para solicitação de contratação de consultoria Pessoa Física, no âmbito do Projeto BRA/IICA/16/001.</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rFonts w:ascii="Arial" w:hAnsi="Arial" w:eastAsia="Arial" w:cs="Arial"/>
        </w:rPr>
      </w:pPr>
      <w:r>
        <w:rPr>
          <w:rFonts w:eastAsia="Arial" w:cs="Arial" w:ascii="Arial" w:hAnsi="Arial"/>
          <w:b/>
          <w:i/>
        </w:rPr>
        <w:t xml:space="preserve">PCT BRA/IICA/16/001 – </w:t>
      </w:r>
      <w:r>
        <w:rPr>
          <w:rFonts w:eastAsia="Arial" w:cs="Arial" w:ascii="Arial" w:hAnsi="Arial"/>
        </w:rPr>
        <w:t>“Modernização da gestão estratégica do MAPA para aperfeiçoar as políticas públicas de promoção do desenvolvimento sustentável, segurança alimentar e competitividade do agronegócio”.</w:t>
      </w:r>
    </w:p>
    <w:p>
      <w:pPr>
        <w:pStyle w:val="Normal"/>
        <w:spacing w:lineRule="auto" w:line="276"/>
        <w:jc w:val="both"/>
        <w:rPr>
          <w:rFonts w:ascii="Arial" w:hAnsi="Arial" w:eastAsia="Arial" w:cs="Arial"/>
        </w:rPr>
      </w:pPr>
      <w:r>
        <w:rPr>
          <w:rFonts w:eastAsia="Arial" w:cs="Arial" w:ascii="Arial" w:hAnsi="Arial"/>
        </w:rPr>
      </w:r>
    </w:p>
    <w:p>
      <w:pPr>
        <w:pStyle w:val="Normal"/>
        <w:numPr>
          <w:ilvl w:val="0"/>
          <w:numId w:val="7"/>
        </w:numPr>
        <w:shd w:val="clear" w:color="auto" w:fill="D9D9D9"/>
        <w:tabs>
          <w:tab w:val="left" w:pos="720" w:leader="none"/>
          <w:tab w:val="left" w:pos="900" w:leader="none"/>
        </w:tabs>
        <w:spacing w:before="120" w:after="120"/>
        <w:ind w:left="720" w:hanging="720"/>
        <w:rPr>
          <w:rFonts w:ascii="Arial" w:hAnsi="Arial" w:eastAsia="Arial" w:cs="Arial"/>
          <w:b/>
          <w:b/>
        </w:rPr>
      </w:pPr>
      <w:r>
        <w:rPr>
          <w:rFonts w:eastAsia="Arial" w:cs="Arial" w:ascii="Arial" w:hAnsi="Arial"/>
          <w:b/>
        </w:rPr>
        <w:t>IDENTIFICAÇÃO DA CONSULTORIA</w:t>
      </w:r>
    </w:p>
    <w:tbl>
      <w:tblPr>
        <w:tblStyle w:val="affb"/>
        <w:tblW w:w="9046" w:type="dxa"/>
        <w:jc w:val="left"/>
        <w:tblInd w:w="0" w:type="dxa"/>
        <w:tblCellMar>
          <w:top w:w="0" w:type="dxa"/>
          <w:left w:w="108" w:type="dxa"/>
          <w:bottom w:w="0" w:type="dxa"/>
          <w:right w:w="108" w:type="dxa"/>
        </w:tblCellMar>
        <w:tblLook w:firstRow="0" w:noVBand="1" w:lastRow="0" w:firstColumn="0" w:lastColumn="0" w:noHBand="0" w:val="0400"/>
      </w:tblPr>
      <w:tblGrid>
        <w:gridCol w:w="9046"/>
      </w:tblGrid>
      <w:tr>
        <w:trPr>
          <w:trHeight w:val="1079" w:hRule="atLeast"/>
        </w:trPr>
        <w:tc>
          <w:tcPr>
            <w:tcW w:w="9046" w:type="dxa"/>
            <w:tcBorders>
              <w:top w:val="single" w:sz="4" w:space="0" w:color="000000"/>
              <w:left w:val="single" w:sz="4" w:space="0" w:color="000000"/>
              <w:bottom w:val="single" w:sz="4" w:space="0" w:color="000000"/>
              <w:right w:val="single" w:sz="4" w:space="0" w:color="000000"/>
            </w:tcBorders>
          </w:tcPr>
          <w:p>
            <w:pPr>
              <w:pStyle w:val="Normal"/>
              <w:pBdr/>
              <w:jc w:val="both"/>
              <w:rPr>
                <w:rFonts w:ascii="Arial" w:hAnsi="Arial" w:eastAsia="Arial" w:cs="Arial"/>
                <w:color w:val="000000"/>
              </w:rPr>
            </w:pPr>
            <w:r>
              <w:rPr>
                <w:rFonts w:eastAsia="Arial" w:cs="Arial" w:ascii="Arial" w:hAnsi="Arial"/>
                <w:color w:val="000000"/>
              </w:rPr>
            </w:r>
            <w:bookmarkStart w:id="0" w:name="_heading=h.gjdgxs"/>
            <w:bookmarkStart w:id="1" w:name="_heading=h.gjdgxs"/>
            <w:bookmarkEnd w:id="1"/>
          </w:p>
          <w:p>
            <w:pPr>
              <w:pStyle w:val="Normal"/>
              <w:pBdr/>
              <w:jc w:val="both"/>
              <w:rPr>
                <w:rFonts w:ascii="Arial" w:hAnsi="Arial" w:eastAsia="Arial" w:cs="Arial"/>
                <w:color w:val="FF0000"/>
                <w:sz w:val="22"/>
                <w:szCs w:val="22"/>
              </w:rPr>
            </w:pPr>
            <w:r>
              <w:rPr>
                <w:rFonts w:eastAsia="Arial" w:cs="Arial" w:ascii="Arial" w:hAnsi="Arial"/>
                <w:color w:val="000000"/>
                <w:sz w:val="22"/>
                <w:szCs w:val="22"/>
              </w:rPr>
              <w:t>Contratação de consultoria, pessoa física, na modalidade produto, para subsidiar a Coordenação-Geral de Tecnologia da Informação do MAPA na elaboração de proposta técnica que contemple a reorganização da coleta de dados e informações cadastrais de produtores, po</w:t>
            </w:r>
            <w:r>
              <w:rPr>
                <w:rFonts w:eastAsia="Arial" w:cs="Arial" w:ascii="Arial" w:hAnsi="Arial"/>
                <w:sz w:val="22"/>
                <w:szCs w:val="22"/>
              </w:rPr>
              <w:t xml:space="preserve">ssuidores de imóveis rurais e estabelecimentos agropecuários </w:t>
            </w:r>
            <w:r>
              <w:rPr>
                <w:rFonts w:eastAsia="Arial" w:cs="Arial" w:ascii="Arial" w:hAnsi="Arial"/>
                <w:color w:val="000000"/>
                <w:sz w:val="22"/>
                <w:szCs w:val="22"/>
              </w:rPr>
              <w:t xml:space="preserve">previstos na Portaria MAPA nº 162, de 13 de maio de 2020, no âmbito do PCT BRA/IICA/16001. </w:t>
            </w:r>
          </w:p>
        </w:tc>
      </w:tr>
    </w:tbl>
    <w:p>
      <w:pPr>
        <w:pStyle w:val="Normal"/>
        <w:spacing w:lineRule="auto" w:line="276"/>
        <w:jc w:val="both"/>
        <w:rPr>
          <w:rFonts w:ascii="Arial" w:hAnsi="Arial" w:eastAsia="Arial" w:cs="Arial"/>
        </w:rPr>
      </w:pPr>
      <w:r>
        <w:rPr>
          <w:rFonts w:eastAsia="Arial" w:cs="Arial" w:ascii="Arial" w:hAnsi="Arial"/>
        </w:rPr>
      </w:r>
    </w:p>
    <w:p>
      <w:pPr>
        <w:pStyle w:val="Normal"/>
        <w:numPr>
          <w:ilvl w:val="0"/>
          <w:numId w:val="7"/>
        </w:numPr>
        <w:shd w:val="clear" w:color="auto" w:fill="D9D9D9"/>
        <w:tabs>
          <w:tab w:val="left" w:pos="720" w:leader="none"/>
          <w:tab w:val="left" w:pos="900" w:leader="none"/>
        </w:tabs>
        <w:spacing w:before="120" w:after="120"/>
        <w:ind w:left="720" w:hanging="720"/>
        <w:rPr>
          <w:rFonts w:ascii="Arial" w:hAnsi="Arial" w:eastAsia="Arial" w:cs="Arial"/>
          <w:b/>
          <w:b/>
        </w:rPr>
      </w:pPr>
      <w:r>
        <w:rPr>
          <w:rFonts w:eastAsia="Arial" w:cs="Arial" w:ascii="Arial" w:hAnsi="Arial"/>
          <w:b/>
        </w:rPr>
        <w:t>CONTEXTUALIZAÇÃO</w:t>
      </w:r>
    </w:p>
    <w:tbl>
      <w:tblPr>
        <w:tblStyle w:val="affc"/>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spacing w:before="240" w:after="240"/>
              <w:ind w:firstLine="440"/>
              <w:jc w:val="both"/>
              <w:rPr>
                <w:rFonts w:ascii="Arial" w:hAnsi="Arial" w:eastAsia="Arial" w:cs="Arial"/>
                <w:color w:val="353744"/>
              </w:rPr>
            </w:pPr>
            <w:r>
              <w:rPr>
                <w:rFonts w:eastAsia="Arial" w:cs="Arial" w:ascii="Arial" w:hAnsi="Arial"/>
                <w:color w:val="353744"/>
              </w:rPr>
              <w:t xml:space="preserve">Os últimos dois anos têm sido marcados por fortes tendências globais de transformação digital em todas as cadeias de valor. No agronegócio esse processo de digitalização é inequívoco, seja de acordo com a cadeia produtiva e o produto, com o território, com a escala, com o mercado ou a exigência e percepção do consumidor/sociedade. Desde ferramentas de big data aplicadas à simples gestão, passando por sensores e IOT, aplicações de IA para otimizar os processos e tomadas de decisão, pelo o blockchain para prover segurança e transparência do campo à mesa, até os aplicativos e outras ferramentas digitais como gêmeos digitais e computação holográfica, em testes nos campos brasileiros, a celeridade dessa transformação é percebida diariamente. </w:t>
            </w:r>
          </w:p>
          <w:p>
            <w:pPr>
              <w:pStyle w:val="Normal"/>
              <w:spacing w:before="240" w:after="240"/>
              <w:ind w:firstLine="440"/>
              <w:jc w:val="both"/>
              <w:rPr>
                <w:rFonts w:ascii="Arial" w:hAnsi="Arial" w:eastAsia="Arial" w:cs="Arial"/>
                <w:color w:val="353744"/>
              </w:rPr>
            </w:pPr>
            <w:r>
              <w:rPr>
                <w:rFonts w:eastAsia="Arial" w:cs="Arial" w:ascii="Arial" w:hAnsi="Arial"/>
                <w:color w:val="353744"/>
              </w:rPr>
              <w:t xml:space="preserve">Nesse mundo dinâmico e contemporâneo é vital o Ministério da Agricultura, Pecuária e Abastecimento (MAPA) seguir promovendo políticas e diretrizes para alavancar o agronegócio. Para esse cenário posto e novas perspectivas é essencial o MAPA estabelecer novas diretrizes por meio de uma visão sobre digitalização no e para o MAPA quantos às perspectivas de Estratégica, Processos/Serviços, Operações e Pessoas. Numa visão de futuro de curto e médio prazos (1 ano e 3 anos) essas camadas são essenciais para a transformação digital que o MAPA precisa e deve perseguir, e o agronegócio brasileiro merece. A digitalização da pasta do agronegócio brasileiro passa de forma inequívoca, no mínimo, por essas perspectivas e são vitais para o País alavancar e antecipar o protagonismo do agronegócio mundial. </w:t>
            </w:r>
          </w:p>
          <w:p>
            <w:pPr>
              <w:pStyle w:val="Normal"/>
              <w:spacing w:before="240" w:after="240"/>
              <w:ind w:firstLine="440"/>
              <w:jc w:val="both"/>
              <w:rPr>
                <w:rFonts w:ascii="Arial" w:hAnsi="Arial" w:eastAsia="Arial" w:cs="Arial"/>
                <w:color w:val="353744"/>
              </w:rPr>
            </w:pPr>
            <w:r>
              <w:rPr>
                <w:rFonts w:eastAsia="Arial" w:cs="Arial" w:ascii="Arial" w:hAnsi="Arial"/>
                <w:color w:val="353744"/>
              </w:rPr>
              <w:t>Neste contexto a Ministra de Estado da Agricultura, Pecuária e Abastecimento publicou a Portaria MAPA nº 162, de 13 de maio de 2020, que Institui Grupo de Trabalho - GT com a finalidade de estudar e propor a unificação de centros de processamento de dados dos órgãos e entidades do MAPA e a reorganização da coleta de dados e informações cadastrais de produtores, possuidores de imóveis rurais e de estabelecimentos agropecuários.</w:t>
            </w:r>
          </w:p>
          <w:p>
            <w:pPr>
              <w:pStyle w:val="Normal"/>
              <w:spacing w:before="240" w:after="240"/>
              <w:ind w:firstLine="440"/>
              <w:jc w:val="both"/>
              <w:rPr>
                <w:rFonts w:ascii="Arial" w:hAnsi="Arial" w:eastAsia="Arial" w:cs="Arial"/>
                <w:color w:val="353744"/>
              </w:rPr>
            </w:pPr>
            <w:r>
              <w:rPr>
                <w:rFonts w:eastAsia="Arial" w:cs="Arial" w:ascii="Arial" w:hAnsi="Arial"/>
                <w:color w:val="353744"/>
              </w:rPr>
              <w:t>Com o recente processo de aperfeiçoamento da área de Tecnologia da Informação e Comunicação - TIC do MAPA, que requerem tempo, maturação e acúmulo de experiências práticas para que frutifiquem, verificou-se a necessidade de manter a infraestrutura e os sistemas de TIC operando em plena carga, bem como, viabilizar o desenvolvimento de novos sistemas e funcionalidades exigidas pelas diversas áreas do Ministério.</w:t>
            </w:r>
          </w:p>
          <w:p>
            <w:pPr>
              <w:pStyle w:val="Normal"/>
              <w:ind w:firstLine="447"/>
              <w:jc w:val="both"/>
              <w:rPr>
                <w:rFonts w:ascii="Arial" w:hAnsi="Arial" w:eastAsia="Arial" w:cs="Arial"/>
                <w:color w:val="353744"/>
              </w:rPr>
            </w:pPr>
            <w:r>
              <w:rPr>
                <w:rFonts w:eastAsia="Arial" w:cs="Arial" w:ascii="Arial" w:hAnsi="Arial"/>
                <w:color w:val="353744"/>
              </w:rPr>
              <w:t>Neste contexto, a CGTI busca realizar a análise das necessidades descritas na Portaria MAPA nº 162, abstraindo quais são as principais ações para atender a determinação da portaria e quais seriam as frentes de trabalho que para desdobrar as ações necessárias para produzir uma proposta de solução definitiva, alinhando atividades que atendam os objetivos organizacionais do MAPA.</w:t>
            </w:r>
          </w:p>
          <w:p>
            <w:pPr>
              <w:pStyle w:val="Normal"/>
              <w:spacing w:before="240" w:after="240"/>
              <w:ind w:firstLine="440"/>
              <w:jc w:val="both"/>
              <w:rPr>
                <w:rFonts w:ascii="Arial" w:hAnsi="Arial" w:eastAsia="Arial" w:cs="Arial"/>
                <w:color w:val="353744"/>
              </w:rPr>
            </w:pPr>
            <w:r>
              <w:rPr>
                <w:rFonts w:eastAsia="Arial" w:cs="Arial" w:ascii="Arial" w:hAnsi="Arial"/>
                <w:color w:val="353744"/>
              </w:rPr>
              <w:t>Assim, faz-se necessária a contratação de serviços de consultoria que permitam apoiar a Coordenação de Governança de Dados - CGOD na elaboração de proposta técnica que contemple a reorganização da coleta de dados e informações cadastrais de produtores, possuidores de imóveis rurais e estabelecimentos agropecuários previstos na Portaria MAPA nº 162, de 13 de maio de 2020, identificando as principais atividades necessárias para atender as determinações previstas no relatório final da Portaria MAPA nº 162, de 13 de setembro de 2020.</w:t>
            </w:r>
          </w:p>
        </w:tc>
      </w:tr>
    </w:tbl>
    <w:p>
      <w:pPr>
        <w:pStyle w:val="Normal"/>
        <w:jc w:val="both"/>
        <w:rPr>
          <w:rFonts w:ascii="Arial" w:hAnsi="Arial" w:eastAsia="Arial" w:cs="Arial"/>
          <w:color w:val="FF0000"/>
        </w:rPr>
      </w:pPr>
      <w:r>
        <w:rPr>
          <w:rFonts w:eastAsia="Arial" w:cs="Arial" w:ascii="Arial" w:hAnsi="Arial"/>
          <w:color w:val="FF0000"/>
        </w:rPr>
      </w:r>
    </w:p>
    <w:p>
      <w:pPr>
        <w:pStyle w:val="Normal"/>
        <w:numPr>
          <w:ilvl w:val="0"/>
          <w:numId w:val="7"/>
        </w:numPr>
        <w:shd w:val="clear" w:color="auto" w:fill="D9D9D9"/>
        <w:tabs>
          <w:tab w:val="left" w:pos="720" w:leader="none"/>
          <w:tab w:val="left" w:pos="900" w:leader="none"/>
        </w:tabs>
        <w:spacing w:lineRule="auto" w:line="276" w:before="120" w:after="120"/>
        <w:ind w:left="720" w:hanging="720"/>
        <w:rPr>
          <w:rFonts w:ascii="Arial" w:hAnsi="Arial" w:eastAsia="Arial" w:cs="Arial"/>
          <w:b/>
          <w:b/>
        </w:rPr>
      </w:pPr>
      <w:r>
        <w:rPr>
          <w:rFonts w:eastAsia="Arial" w:cs="Arial" w:ascii="Arial" w:hAnsi="Arial"/>
          <w:b/>
        </w:rPr>
        <w:t>JUSTIFICATIVA</w:t>
      </w:r>
    </w:p>
    <w:tbl>
      <w:tblPr>
        <w:tblStyle w:val="affd"/>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spacing w:before="240" w:after="240"/>
              <w:ind w:firstLine="440"/>
              <w:jc w:val="both"/>
              <w:rPr>
                <w:rFonts w:ascii="Arial" w:hAnsi="Arial" w:eastAsia="Arial" w:cs="Arial"/>
              </w:rPr>
            </w:pPr>
            <w:r>
              <w:rPr>
                <w:rFonts w:eastAsia="Arial" w:cs="Arial" w:ascii="Arial" w:hAnsi="Arial"/>
              </w:rPr>
              <w:t>Na busca de posicionar a TI como agente na transformação no MAPA, atuando de forma integrada, ética e colaborativa e sabedora das restrições provenientes de uma legislação que não foca a promoção de mudanças disruptivas, precisa aumentar a sua capacidade de gestão e de execução para garantir uma maior previsibilidade do andamento dos seus projetos e facilitar o processo de tomada de decisão.</w:t>
            </w:r>
          </w:p>
          <w:p>
            <w:pPr>
              <w:pStyle w:val="Normal"/>
              <w:spacing w:before="240" w:after="240"/>
              <w:ind w:firstLine="440"/>
              <w:jc w:val="both"/>
              <w:rPr>
                <w:rFonts w:ascii="Arial" w:hAnsi="Arial" w:eastAsia="Arial" w:cs="Arial"/>
              </w:rPr>
            </w:pPr>
            <w:r>
              <w:rPr>
                <w:rFonts w:eastAsia="Arial" w:cs="Arial" w:ascii="Arial" w:hAnsi="Arial"/>
              </w:rPr>
              <w:t>No entanto, os resultados institucionais acabam sendo influenciados pelo grande volume de programas, projetos e ações prioritárias que vem sendo empreendidos, em diferentes estágios de execução, com sistemáticas e práticas de priorização e gerenciamento pouco maduras, baixo nível de normatização e padronização, bem como ausência de mecanismos e ferramentas de monitoramento, que apoiem a tomada de decisão, que facilitem a absorção de conhecimentos e o alcance de resultados institucionais.</w:t>
            </w:r>
          </w:p>
          <w:p>
            <w:pPr>
              <w:pStyle w:val="Normal"/>
              <w:spacing w:before="240" w:after="240"/>
              <w:ind w:firstLine="440"/>
              <w:jc w:val="both"/>
              <w:rPr>
                <w:rFonts w:ascii="Arial" w:hAnsi="Arial" w:eastAsia="Arial" w:cs="Arial"/>
              </w:rPr>
            </w:pPr>
            <w:r>
              <w:rPr>
                <w:rFonts w:eastAsia="Arial" w:cs="Arial" w:ascii="Arial" w:hAnsi="Arial"/>
              </w:rPr>
              <w:t>Torna-se evidente para a TI que há a necessidade de novos investimentos, instrumentos e soluções especializadas, de forma a suprir as carências apresentadas pelo Órgão, procurando dotá-la de novos caminhos de gestão e governança, cada vez mais exigidos pelos órgãos de controle.</w:t>
            </w:r>
          </w:p>
          <w:p>
            <w:pPr>
              <w:pStyle w:val="Normal"/>
              <w:spacing w:before="240" w:after="240"/>
              <w:ind w:firstLine="440"/>
              <w:jc w:val="both"/>
              <w:rPr>
                <w:rFonts w:ascii="Arial" w:hAnsi="Arial" w:eastAsia="Arial" w:cs="Arial"/>
              </w:rPr>
            </w:pPr>
            <w:r>
              <w:rPr>
                <w:rFonts w:eastAsia="Arial" w:cs="Arial" w:ascii="Arial" w:hAnsi="Arial"/>
              </w:rPr>
              <w:t>No contexto atual, a TI não consegue responder, de forma efetiva, à demanda da instituição para a colocação em prática de suas diretrizes estratégicas, com alcance de seus objetivos institucionais, melhoria de sua gestão, governança e inovação, visto que atualmente, existe uma enorme defasagem no quantitativo de pessoal, que pode ser visto na tabela abaixo, número esse insuficiente para conduzir a gestão de todas as atividades de tecnologia da informação. Além da complexidade dos atuais projetos, existe uma crescente demanda por serviços e uma constante e expressiva busca das áreas fins por novas tecnologias e por novos sistemas de informação.</w:t>
            </w:r>
          </w:p>
          <w:p>
            <w:pPr>
              <w:pStyle w:val="Normal"/>
              <w:jc w:val="center"/>
              <w:rPr>
                <w:rFonts w:ascii="Arial" w:hAnsi="Arial" w:eastAsia="Arial" w:cs="Arial"/>
              </w:rPr>
            </w:pPr>
            <w:r>
              <w:rPr/>
              <w:drawing>
                <wp:inline distT="0" distB="0" distL="0" distR="0">
                  <wp:extent cx="5617210" cy="133858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5617210" cy="1338580"/>
                          </a:xfrm>
                          <a:prstGeom prst="rect">
                            <a:avLst/>
                          </a:prstGeom>
                        </pic:spPr>
                      </pic:pic>
                    </a:graphicData>
                  </a:graphic>
                </wp:inline>
              </w:drawing>
            </w:r>
          </w:p>
          <w:p>
            <w:pPr>
              <w:pStyle w:val="Normal"/>
              <w:pBdr/>
              <w:spacing w:before="240" w:after="240"/>
              <w:ind w:firstLine="440"/>
              <w:jc w:val="both"/>
              <w:rPr>
                <w:rFonts w:ascii="Arial" w:hAnsi="Arial" w:eastAsia="Arial" w:cs="Arial"/>
              </w:rPr>
            </w:pPr>
            <w:r>
              <w:rPr>
                <w:rFonts w:eastAsia="Arial" w:cs="Arial" w:ascii="Arial" w:hAnsi="Arial"/>
              </w:rPr>
              <w:t xml:space="preserve">Diante deste cenário, justifica-se a necessidade de contratação de um consultor que possua qualificação na elaboração de proposta técnica que contemple a reorganização da coleta de dados e informações cadastrais de produtores, possuidores de imóveis rurais e estabelecimentos agropecuários previstos na Portaria MAPA nº 162, de 13 de maio de 2020, tendo em vista a informação registrada pela COGEP/DA no item 6 do Despacho 175, acostado aos autos do Processo SEI 21000.075396/2021-51 sob o nº 17284237, que à luz do Decreto nº 5.151/2004 não há servidores com a disponibilidade para o desempenho das atribuições descritas no Termo de Referência em tela.  </w:t>
            </w:r>
          </w:p>
        </w:tc>
      </w:tr>
    </w:tbl>
    <w:p>
      <w:pPr>
        <w:pStyle w:val="Normal"/>
        <w:jc w:val="both"/>
        <w:rPr>
          <w:rFonts w:ascii="Arial" w:hAnsi="Arial" w:eastAsia="Arial" w:cs="Arial"/>
        </w:rPr>
      </w:pPr>
      <w:r>
        <w:rPr>
          <w:rFonts w:eastAsia="Arial" w:cs="Arial" w:ascii="Arial" w:hAnsi="Arial"/>
        </w:rPr>
      </w:r>
    </w:p>
    <w:p>
      <w:pPr>
        <w:pStyle w:val="Normal"/>
        <w:numPr>
          <w:ilvl w:val="0"/>
          <w:numId w:val="7"/>
        </w:numPr>
        <w:shd w:val="clear" w:color="auto" w:fill="D9D9D9"/>
        <w:tabs>
          <w:tab w:val="left" w:pos="720" w:leader="none"/>
          <w:tab w:val="left" w:pos="900" w:leader="none"/>
        </w:tabs>
        <w:spacing w:lineRule="auto" w:line="276"/>
        <w:ind w:left="720" w:hanging="720"/>
        <w:rPr>
          <w:rFonts w:ascii="Arial" w:hAnsi="Arial" w:eastAsia="Arial" w:cs="Arial"/>
          <w:b/>
          <w:b/>
        </w:rPr>
      </w:pPr>
      <w:r>
        <w:rPr>
          <w:rFonts w:eastAsia="Arial" w:cs="Arial" w:ascii="Arial" w:hAnsi="Arial"/>
          <w:b/>
        </w:rPr>
        <w:t>VINCULAÇÃO AOS OBJETIVOS ESTRATÉGICOS DO MAPA ESTRATÉGICO 2020-2031 DO MINISTÉRIO DA AGRICULTURA, PECUÁRIA E ABASTECIMENTO</w:t>
      </w:r>
    </w:p>
    <w:p>
      <w:pPr>
        <w:pStyle w:val="Normal"/>
        <w:jc w:val="both"/>
        <w:rPr>
          <w:rFonts w:ascii="Arial" w:hAnsi="Arial" w:eastAsia="Arial" w:cs="Arial"/>
          <w:color w:val="FF0000"/>
        </w:rPr>
      </w:pPr>
      <w:r>
        <w:rPr>
          <w:rFonts w:eastAsia="Arial" w:cs="Arial" w:ascii="Arial" w:hAnsi="Arial"/>
          <w:color w:val="FF0000"/>
        </w:rPr>
      </w:r>
    </w:p>
    <w:tbl>
      <w:tblPr>
        <w:tblStyle w:val="affe"/>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ind w:firstLine="447"/>
              <w:jc w:val="both"/>
              <w:rPr>
                <w:rFonts w:ascii="Arial" w:hAnsi="Arial" w:eastAsia="Arial" w:cs="Arial"/>
              </w:rPr>
            </w:pPr>
            <w:r>
              <w:rPr>
                <w:rFonts w:eastAsia="Arial" w:cs="Arial" w:ascii="Arial" w:hAnsi="Arial"/>
              </w:rPr>
              <w:t>O objetivo geral da consultoria solicitada se relaciona diretamente com os Objetivos Estratégicos do MAPA:</w:t>
            </w:r>
          </w:p>
          <w:p>
            <w:pPr>
              <w:pStyle w:val="Normal"/>
              <w:ind w:firstLine="447"/>
              <w:jc w:val="both"/>
              <w:rPr>
                <w:rFonts w:ascii="Arial" w:hAnsi="Arial" w:eastAsia="Arial" w:cs="Arial"/>
              </w:rPr>
            </w:pPr>
            <w:r>
              <w:rPr>
                <w:rFonts w:eastAsia="Arial" w:cs="Arial" w:ascii="Arial" w:hAnsi="Arial"/>
              </w:rPr>
            </w:r>
          </w:p>
          <w:p>
            <w:pPr>
              <w:pStyle w:val="Normal"/>
              <w:shd w:val="clear" w:color="auto" w:fill="FFFFFF"/>
              <w:jc w:val="both"/>
              <w:rPr>
                <w:rFonts w:ascii="Helvetica Neue" w:hAnsi="Helvetica Neue" w:eastAsia="Helvetica Neue" w:cs="Helvetica Neue"/>
              </w:rPr>
            </w:pPr>
            <w:r>
              <w:rPr>
                <w:rFonts w:eastAsia="Helvetica Neue" w:cs="Helvetica Neue" w:ascii="Helvetica Neue" w:hAnsi="Helvetica Neue"/>
                <w:b/>
              </w:rPr>
              <w:t>OE19</w:t>
            </w:r>
            <w:r>
              <w:rPr>
                <w:rFonts w:eastAsia="Helvetica Neue" w:cs="Helvetica Neue" w:ascii="Helvetica Neue" w:hAnsi="Helvetica Neue"/>
              </w:rPr>
              <w:t> - Aperfeiçoar atos normativos e automatizar e implantar processos de negócios (transformação digital).</w:t>
            </w:r>
          </w:p>
          <w:p>
            <w:pPr>
              <w:pStyle w:val="Normal"/>
              <w:shd w:val="clear" w:color="auto" w:fill="FFFFFF"/>
              <w:spacing w:before="0" w:after="300"/>
              <w:jc w:val="both"/>
              <w:rPr>
                <w:rFonts w:ascii="Helvetica Neue" w:hAnsi="Helvetica Neue" w:eastAsia="Helvetica Neue" w:cs="Helvetica Neue"/>
              </w:rPr>
            </w:pPr>
            <w:r>
              <w:rPr>
                <w:rFonts w:eastAsia="Helvetica Neue" w:cs="Helvetica Neue" w:ascii="Helvetica Neue" w:hAnsi="Helvetica Neue"/>
              </w:rPr>
              <w:t>Revisar, atualizar e simplificar atos normativos, modelar e automatizar os processos, com vistas a promover a transformação digital do MAPA, com foco na prestação de serviços mais eficientes, eficazes, econômicos e efetivos, de forma transparente para a sociedade.</w:t>
            </w:r>
          </w:p>
          <w:p>
            <w:pPr>
              <w:pStyle w:val="Normal"/>
              <w:shd w:val="clear" w:color="auto" w:fill="FFFFFF"/>
              <w:jc w:val="both"/>
              <w:rPr>
                <w:rFonts w:ascii="Helvetica Neue" w:hAnsi="Helvetica Neue" w:eastAsia="Helvetica Neue" w:cs="Helvetica Neue"/>
              </w:rPr>
            </w:pPr>
            <w:r>
              <w:rPr>
                <w:rFonts w:eastAsia="Helvetica Neue" w:cs="Helvetica Neue" w:ascii="Helvetica Neue" w:hAnsi="Helvetica Neue"/>
                <w:b/>
              </w:rPr>
              <w:t>OE23</w:t>
            </w:r>
            <w:r>
              <w:rPr>
                <w:rFonts w:eastAsia="Helvetica Neue" w:cs="Helvetica Neue" w:ascii="Helvetica Neue" w:hAnsi="Helvetica Neue"/>
              </w:rPr>
              <w:t> - Adequar a capacidade da tecnologia da informação aos novos desafios da transformação digital.</w:t>
            </w:r>
          </w:p>
          <w:p>
            <w:pPr>
              <w:pStyle w:val="Normal"/>
              <w:ind w:firstLine="447"/>
              <w:jc w:val="both"/>
              <w:rPr>
                <w:rFonts w:ascii="Arial" w:hAnsi="Arial" w:eastAsia="Arial" w:cs="Arial"/>
              </w:rPr>
            </w:pPr>
            <w:r>
              <w:rPr>
                <w:rFonts w:eastAsia="Helvetica Neue" w:cs="Helvetica Neue" w:ascii="Helvetica Neue" w:hAnsi="Helvetica Neue"/>
              </w:rPr>
              <w:t>Adequar os recursos de Tecnologia da Informação e Comunicação (TIC) às necessidades demandadas pelo MAPA e pelas novas tecnologias de apoio à transformação digital.</w:t>
            </w:r>
            <w:r>
              <w:rPr>
                <w:rFonts w:eastAsia="Arial" w:cs="Arial" w:ascii="Arial" w:hAnsi="Arial"/>
              </w:rPr>
              <w:t xml:space="preserve"> </w:t>
            </w:r>
          </w:p>
          <w:p>
            <w:pPr>
              <w:pStyle w:val="Normal"/>
              <w:ind w:firstLine="447"/>
              <w:jc w:val="both"/>
              <w:rPr>
                <w:rFonts w:ascii="Arial" w:hAnsi="Arial" w:eastAsia="Arial" w:cs="Arial"/>
              </w:rPr>
            </w:pPr>
            <w:r>
              <w:rPr>
                <w:rFonts w:eastAsia="Arial" w:cs="Arial" w:ascii="Arial" w:hAnsi="Arial"/>
              </w:rPr>
            </w:r>
          </w:p>
        </w:tc>
      </w:tr>
    </w:tbl>
    <w:p>
      <w:pPr>
        <w:pStyle w:val="Normal"/>
        <w:jc w:val="both"/>
        <w:rPr>
          <w:rFonts w:ascii="Arial" w:hAnsi="Arial" w:eastAsia="Arial" w:cs="Arial"/>
          <w:i/>
          <w:i/>
          <w:color w:val="595959"/>
        </w:rPr>
      </w:pPr>
      <w:r>
        <w:rPr>
          <w:rFonts w:eastAsia="Arial" w:cs="Arial" w:ascii="Arial" w:hAnsi="Arial"/>
          <w:i/>
          <w:color w:val="595959"/>
        </w:rPr>
      </w:r>
    </w:p>
    <w:p>
      <w:pPr>
        <w:pStyle w:val="Normal"/>
        <w:jc w:val="both"/>
        <w:rPr>
          <w:rFonts w:ascii="Arial" w:hAnsi="Arial" w:eastAsia="Arial" w:cs="Arial"/>
          <w:i/>
          <w:i/>
          <w:color w:val="595959"/>
        </w:rPr>
      </w:pPr>
      <w:r>
        <w:rPr>
          <w:rFonts w:eastAsia="Arial" w:cs="Arial" w:ascii="Arial" w:hAnsi="Arial"/>
          <w:i/>
          <w:color w:val="595959"/>
        </w:rPr>
      </w:r>
    </w:p>
    <w:p>
      <w:pPr>
        <w:pStyle w:val="Normal"/>
        <w:jc w:val="both"/>
        <w:rPr>
          <w:rFonts w:ascii="Arial" w:hAnsi="Arial" w:eastAsia="Arial" w:cs="Arial"/>
          <w:i/>
          <w:i/>
          <w:color w:val="595959"/>
        </w:rPr>
      </w:pPr>
      <w:r>
        <w:rPr>
          <w:rFonts w:eastAsia="Arial" w:cs="Arial" w:ascii="Arial" w:hAnsi="Arial"/>
          <w:i/>
          <w:color w:val="595959"/>
        </w:rPr>
      </w:r>
    </w:p>
    <w:p>
      <w:pPr>
        <w:pStyle w:val="Normal"/>
        <w:numPr>
          <w:ilvl w:val="0"/>
          <w:numId w:val="7"/>
        </w:numPr>
        <w:shd w:val="clear" w:color="auto" w:fill="D9D9D9"/>
        <w:tabs>
          <w:tab w:val="left" w:pos="720" w:leader="none"/>
          <w:tab w:val="left" w:pos="900" w:leader="none"/>
        </w:tabs>
        <w:ind w:left="720" w:hanging="720"/>
        <w:rPr>
          <w:rFonts w:ascii="Arial" w:hAnsi="Arial" w:eastAsia="Arial" w:cs="Arial"/>
          <w:b/>
          <w:b/>
        </w:rPr>
      </w:pPr>
      <w:r>
        <w:rPr>
          <w:rFonts w:eastAsia="Arial" w:cs="Arial" w:ascii="Arial" w:hAnsi="Arial"/>
          <w:b/>
        </w:rPr>
        <w:t>ENQUADRAMENTO</w:t>
      </w:r>
    </w:p>
    <w:p>
      <w:pPr>
        <w:pStyle w:val="Normal"/>
        <w:jc w:val="both"/>
        <w:rPr>
          <w:rFonts w:ascii="Arial" w:hAnsi="Arial" w:eastAsia="Arial" w:cs="Arial"/>
          <w:i/>
          <w:i/>
          <w:color w:val="595959"/>
        </w:rPr>
      </w:pPr>
      <w:r>
        <w:rPr>
          <w:rFonts w:eastAsia="Arial" w:cs="Arial" w:ascii="Arial" w:hAnsi="Arial"/>
          <w:i/>
          <w:color w:val="595959"/>
        </w:rPr>
      </w:r>
    </w:p>
    <w:p>
      <w:pPr>
        <w:pStyle w:val="Normal"/>
        <w:jc w:val="both"/>
        <w:rPr>
          <w:rFonts w:ascii="Arial" w:hAnsi="Arial" w:eastAsia="Arial" w:cs="Arial"/>
        </w:rPr>
      </w:pPr>
      <w:r>
        <w:rPr>
          <w:rFonts w:eastAsia="Arial" w:cs="Arial" w:ascii="Arial" w:hAnsi="Arial"/>
        </w:rPr>
        <w:t xml:space="preserve">Objetivo Imediato </w:t>
      </w:r>
      <w:bookmarkStart w:id="2" w:name="bookmark=id.30j0zll"/>
      <w:bookmarkEnd w:id="2"/>
      <w:r>
        <w:rPr>
          <w:rFonts w:eastAsia="Arial" w:cs="Arial" w:ascii="Arial" w:hAnsi="Arial"/>
        </w:rPr>
        <w:t>1: Ampliar a capacidade do MAPA no desenvolvimento, fortalecimento e gestão integrada de políticas, programas e projetos relacionados ao agronegócio brasileiro.</w:t>
      </w:r>
    </w:p>
    <w:p>
      <w:pPr>
        <w:pStyle w:val="Normal"/>
        <w:jc w:val="both"/>
        <w:rPr>
          <w:rFonts w:ascii="Arial" w:hAnsi="Arial" w:eastAsia="Arial" w:cs="Arial"/>
          <w:i/>
          <w:i/>
        </w:rPr>
      </w:pPr>
      <w:r>
        <w:rPr>
          <w:rFonts w:eastAsia="Arial" w:cs="Arial" w:ascii="Arial" w:hAnsi="Arial"/>
          <w:i/>
        </w:rPr>
      </w:r>
    </w:p>
    <w:p>
      <w:pPr>
        <w:pStyle w:val="Normal"/>
        <w:jc w:val="both"/>
        <w:rPr>
          <w:rFonts w:ascii="Arial" w:hAnsi="Arial" w:eastAsia="Arial" w:cs="Arial"/>
        </w:rPr>
      </w:pPr>
      <w:r>
        <w:rPr>
          <w:rFonts w:eastAsia="Arial" w:cs="Arial" w:ascii="Arial" w:hAnsi="Arial"/>
        </w:rPr>
        <w:t>Resultado:</w:t>
      </w:r>
      <w:bookmarkStart w:id="3" w:name="bookmark=id.1fob9te"/>
      <w:bookmarkEnd w:id="3"/>
      <w:r>
        <w:rPr>
          <w:rFonts w:eastAsia="Arial" w:cs="Arial" w:ascii="Arial" w:hAnsi="Arial"/>
        </w:rPr>
        <w:t xml:space="preserve"> 1.2 Critérios técnicos e metodológicos para a construção de um modelo de gestão que privilegie a integração e a complementaridade de políticas, programas e projetos do MAPA definidos.</w:t>
      </w:r>
    </w:p>
    <w:p>
      <w:pPr>
        <w:pStyle w:val="Normal"/>
        <w:rPr>
          <w:rFonts w:ascii="Arial" w:hAnsi="Arial" w:eastAsia="Arial" w:cs="Arial"/>
          <w:i/>
          <w:i/>
        </w:rPr>
      </w:pPr>
      <w:r>
        <w:rPr>
          <w:rFonts w:eastAsia="Arial" w:cs="Arial" w:ascii="Arial" w:hAnsi="Arial"/>
          <w:i/>
        </w:rPr>
      </w:r>
    </w:p>
    <w:p>
      <w:pPr>
        <w:pStyle w:val="Normal"/>
        <w:numPr>
          <w:ilvl w:val="0"/>
          <w:numId w:val="7"/>
        </w:numPr>
        <w:shd w:val="clear" w:color="auto" w:fill="D9D9D9"/>
        <w:tabs>
          <w:tab w:val="left" w:pos="720" w:leader="none"/>
          <w:tab w:val="left" w:pos="900" w:leader="none"/>
        </w:tabs>
        <w:ind w:left="720" w:hanging="720"/>
        <w:rPr>
          <w:rFonts w:ascii="Arial" w:hAnsi="Arial" w:eastAsia="Arial" w:cs="Arial"/>
          <w:b/>
          <w:b/>
        </w:rPr>
      </w:pPr>
      <w:r>
        <w:rPr>
          <w:rFonts w:eastAsia="Arial" w:cs="Arial" w:ascii="Arial" w:hAnsi="Arial"/>
          <w:b/>
        </w:rPr>
        <w:t>OBJETIVO GERAL</w:t>
      </w:r>
    </w:p>
    <w:p>
      <w:pPr>
        <w:pStyle w:val="Normal"/>
        <w:jc w:val="both"/>
        <w:rPr>
          <w:rFonts w:ascii="Arial" w:hAnsi="Arial" w:eastAsia="Arial" w:cs="Arial"/>
        </w:rPr>
      </w:pPr>
      <w:r>
        <w:rPr>
          <w:rFonts w:eastAsia="Arial" w:cs="Arial" w:ascii="Arial" w:hAnsi="Arial"/>
        </w:rPr>
      </w:r>
    </w:p>
    <w:tbl>
      <w:tblPr>
        <w:tblStyle w:val="afff"/>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color w:val="000000"/>
                <w:sz w:val="22"/>
                <w:szCs w:val="22"/>
              </w:rPr>
              <w:t xml:space="preserve">Elaboração de documentos técnicos que </w:t>
            </w:r>
            <w:r>
              <w:rPr>
                <w:rFonts w:eastAsia="Arial" w:cs="Arial" w:ascii="Arial" w:hAnsi="Arial"/>
                <w:sz w:val="22"/>
                <w:szCs w:val="22"/>
              </w:rPr>
              <w:t>contemplem</w:t>
            </w:r>
            <w:r>
              <w:rPr>
                <w:rFonts w:eastAsia="Arial" w:cs="Arial" w:ascii="Arial" w:hAnsi="Arial"/>
                <w:color w:val="000000"/>
                <w:sz w:val="22"/>
                <w:szCs w:val="22"/>
              </w:rPr>
              <w:t xml:space="preserve"> a reorganização da coleta de dados e informações cadastrais de produtores, po</w:t>
            </w:r>
            <w:r>
              <w:rPr>
                <w:rFonts w:eastAsia="Arial" w:cs="Arial" w:ascii="Arial" w:hAnsi="Arial"/>
                <w:sz w:val="22"/>
                <w:szCs w:val="22"/>
              </w:rPr>
              <w:t xml:space="preserve">ssuidores de imóveis rurais e estabelecimentos agropecuários </w:t>
            </w:r>
            <w:r>
              <w:rPr>
                <w:rFonts w:eastAsia="Arial" w:cs="Arial" w:ascii="Arial" w:hAnsi="Arial"/>
                <w:color w:val="000000"/>
                <w:sz w:val="22"/>
                <w:szCs w:val="22"/>
              </w:rPr>
              <w:t>previstos na Portaria MAPA nº 162, de 13 de maio de 2020.</w:t>
            </w:r>
          </w:p>
          <w:p>
            <w:pPr>
              <w:pStyle w:val="Normal"/>
              <w:jc w:val="both"/>
              <w:rPr>
                <w:rFonts w:ascii="Arial" w:hAnsi="Arial" w:eastAsia="Arial" w:cs="Arial"/>
                <w:i/>
                <w:i/>
                <w:color w:val="FF0000"/>
              </w:rPr>
            </w:pPr>
            <w:r>
              <w:rPr>
                <w:rFonts w:eastAsia="Arial" w:cs="Arial" w:ascii="Arial" w:hAnsi="Arial"/>
                <w:i/>
                <w:color w:val="FF0000"/>
              </w:rPr>
            </w:r>
          </w:p>
        </w:tc>
      </w:tr>
    </w:tbl>
    <w:p>
      <w:pPr>
        <w:pStyle w:val="Normal"/>
        <w:jc w:val="both"/>
        <w:rPr>
          <w:rFonts w:ascii="Arial" w:hAnsi="Arial" w:eastAsia="Arial" w:cs="Arial"/>
        </w:rPr>
      </w:pPr>
      <w:r>
        <w:rPr>
          <w:rFonts w:eastAsia="Arial" w:cs="Arial" w:ascii="Arial" w:hAnsi="Arial"/>
        </w:rPr>
      </w:r>
    </w:p>
    <w:p>
      <w:pPr>
        <w:pStyle w:val="Normal"/>
        <w:numPr>
          <w:ilvl w:val="0"/>
          <w:numId w:val="7"/>
        </w:numPr>
        <w:shd w:val="clear" w:color="auto" w:fill="D9D9D9"/>
        <w:tabs>
          <w:tab w:val="left" w:pos="720" w:leader="none"/>
          <w:tab w:val="left" w:pos="900" w:leader="none"/>
        </w:tabs>
        <w:spacing w:lineRule="auto" w:line="276"/>
        <w:ind w:left="720" w:hanging="720"/>
        <w:rPr>
          <w:rFonts w:ascii="Arial" w:hAnsi="Arial" w:eastAsia="Arial" w:cs="Arial"/>
          <w:b/>
          <w:b/>
        </w:rPr>
      </w:pPr>
      <w:r>
        <w:rPr>
          <w:rFonts w:eastAsia="Arial" w:cs="Arial" w:ascii="Arial" w:hAnsi="Arial"/>
          <w:b/>
        </w:rPr>
        <w:t>OBJETIVOS ESPECÍFICOS</w:t>
      </w:r>
    </w:p>
    <w:p>
      <w:pPr>
        <w:pStyle w:val="Normal"/>
        <w:jc w:val="both"/>
        <w:rPr>
          <w:rFonts w:ascii="Arial" w:hAnsi="Arial" w:eastAsia="Arial" w:cs="Arial"/>
        </w:rPr>
      </w:pPr>
      <w:r>
        <w:rPr>
          <w:rFonts w:eastAsia="Arial" w:cs="Arial" w:ascii="Arial" w:hAnsi="Arial"/>
        </w:rPr>
      </w:r>
    </w:p>
    <w:tbl>
      <w:tblPr>
        <w:tblStyle w:val="afff0"/>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numPr>
                <w:ilvl w:val="0"/>
                <w:numId w:val="6"/>
              </w:numPr>
              <w:jc w:val="both"/>
              <w:rPr>
                <w:rFonts w:ascii="Arial" w:hAnsi="Arial" w:eastAsia="Arial" w:cs="Arial"/>
              </w:rPr>
            </w:pPr>
            <w:r>
              <w:rPr>
                <w:rFonts w:eastAsia="Arial" w:cs="Arial" w:ascii="Arial" w:hAnsi="Arial"/>
              </w:rPr>
              <w:t>Elaborar relatório contendo diagnóstico das principais bases de dados previstas na Portaria MAPA nº 162/2020;</w:t>
            </w:r>
          </w:p>
          <w:p>
            <w:pPr>
              <w:pStyle w:val="Normal"/>
              <w:numPr>
                <w:ilvl w:val="0"/>
                <w:numId w:val="6"/>
              </w:numPr>
              <w:jc w:val="both"/>
              <w:rPr>
                <w:rFonts w:ascii="Arial" w:hAnsi="Arial" w:eastAsia="Arial" w:cs="Arial"/>
              </w:rPr>
            </w:pPr>
            <w:r>
              <w:rPr>
                <w:rFonts w:eastAsia="Arial" w:cs="Arial" w:ascii="Arial" w:hAnsi="Arial"/>
              </w:rPr>
              <w:t>Elaborar proposta de ambiente de dados que permita acesso às principais bases de dados por meio de orquestração de serviços de dados;</w:t>
            </w:r>
          </w:p>
          <w:p>
            <w:pPr>
              <w:pStyle w:val="Normal"/>
              <w:numPr>
                <w:ilvl w:val="0"/>
                <w:numId w:val="6"/>
              </w:numPr>
              <w:jc w:val="both"/>
              <w:rPr>
                <w:rFonts w:ascii="Arial" w:hAnsi="Arial" w:eastAsia="Arial" w:cs="Arial"/>
              </w:rPr>
            </w:pPr>
            <w:r>
              <w:rPr>
                <w:rFonts w:eastAsia="Arial" w:cs="Arial" w:ascii="Arial" w:hAnsi="Arial"/>
              </w:rPr>
              <w:t>Elaborar documento técnico contendo proposta de ferramentas de análise de dados e big data;</w:t>
            </w:r>
          </w:p>
          <w:p>
            <w:pPr>
              <w:pStyle w:val="Normal"/>
              <w:numPr>
                <w:ilvl w:val="0"/>
                <w:numId w:val="6"/>
              </w:numPr>
              <w:jc w:val="both"/>
              <w:rPr>
                <w:rFonts w:ascii="Arial" w:hAnsi="Arial" w:eastAsia="Arial" w:cs="Arial"/>
              </w:rPr>
            </w:pPr>
            <w:r>
              <w:rPr>
                <w:rFonts w:eastAsia="Arial" w:cs="Arial" w:ascii="Arial" w:hAnsi="Arial"/>
              </w:rPr>
              <w:t>Elaborar documento que contenha proposta de solução de auto serviço em inteligência de dados;</w:t>
            </w:r>
          </w:p>
          <w:p>
            <w:pPr>
              <w:pStyle w:val="Normal"/>
              <w:numPr>
                <w:ilvl w:val="0"/>
                <w:numId w:val="6"/>
              </w:numPr>
              <w:jc w:val="both"/>
              <w:rPr>
                <w:rFonts w:ascii="Arial" w:hAnsi="Arial" w:eastAsia="Arial" w:cs="Arial"/>
              </w:rPr>
            </w:pPr>
            <w:r>
              <w:rPr>
                <w:rFonts w:eastAsia="Arial" w:cs="Arial" w:ascii="Arial" w:hAnsi="Arial"/>
              </w:rPr>
              <w:t>Elaborar relatório contendo plano de integração das principais bases de dados identificadas na Portaria MAPA nº 162/2020.</w:t>
            </w:r>
          </w:p>
        </w:tc>
      </w:tr>
    </w:tbl>
    <w:p>
      <w:pPr>
        <w:pStyle w:val="Normal"/>
        <w:jc w:val="both"/>
        <w:rPr>
          <w:rFonts w:ascii="Arial" w:hAnsi="Arial" w:eastAsia="Arial" w:cs="Arial"/>
        </w:rPr>
      </w:pPr>
      <w:r>
        <w:rPr>
          <w:rFonts w:eastAsia="Arial" w:cs="Arial" w:ascii="Arial" w:hAnsi="Arial"/>
        </w:rPr>
      </w:r>
      <w:bookmarkStart w:id="4" w:name="_heading=h.30j0zll"/>
      <w:bookmarkStart w:id="5" w:name="_heading=h.30j0zll"/>
      <w:bookmarkEnd w:id="5"/>
    </w:p>
    <w:p>
      <w:pPr>
        <w:pStyle w:val="Normal"/>
        <w:shd w:val="clear" w:color="auto" w:fill="D9D9D9"/>
        <w:tabs>
          <w:tab w:val="left" w:pos="720" w:leader="none"/>
          <w:tab w:val="left" w:pos="900" w:leader="none"/>
        </w:tabs>
        <w:spacing w:lineRule="auto" w:line="276"/>
        <w:rPr>
          <w:rFonts w:ascii="Arial" w:hAnsi="Arial" w:eastAsia="Arial" w:cs="Arial"/>
          <w:b/>
          <w:b/>
        </w:rPr>
      </w:pPr>
      <w:r>
        <w:rPr>
          <w:rFonts w:eastAsia="Arial" w:cs="Arial" w:ascii="Arial" w:hAnsi="Arial"/>
          <w:b/>
        </w:rPr>
        <w:t>8.</w:t>
        <w:tab/>
        <w:t>PRODUTOS</w:t>
      </w:r>
    </w:p>
    <w:p>
      <w:pPr>
        <w:pStyle w:val="Normal"/>
        <w:rPr/>
      </w:pPr>
      <w:r>
        <w:rPr/>
      </w:r>
    </w:p>
    <w:tbl>
      <w:tblPr>
        <w:tblStyle w:val="afff1"/>
        <w:tblW w:w="9062" w:type="dxa"/>
        <w:jc w:val="left"/>
        <w:tblInd w:w="0" w:type="dxa"/>
        <w:tblCellMar>
          <w:top w:w="0" w:type="dxa"/>
          <w:left w:w="108" w:type="dxa"/>
          <w:bottom w:w="0" w:type="dxa"/>
          <w:right w:w="108" w:type="dxa"/>
        </w:tblCellMar>
        <w:tblLook w:firstRow="0" w:noVBand="1" w:lastRow="0" w:firstColumn="0" w:lastColumn="0" w:noHBand="0" w:val="0400"/>
      </w:tblPr>
      <w:tblGrid>
        <w:gridCol w:w="9062"/>
      </w:tblGrid>
      <w:tr>
        <w:trPr/>
        <w:tc>
          <w:tcPr>
            <w:tcW w:w="9062" w:type="dxa"/>
            <w:tcBorders>
              <w:top w:val="single" w:sz="4" w:space="0" w:color="000000"/>
              <w:left w:val="single" w:sz="4" w:space="0" w:color="000000"/>
              <w:bottom w:val="single" w:sz="4" w:space="0" w:color="000000"/>
              <w:right w:val="single" w:sz="4" w:space="0" w:color="000000"/>
            </w:tcBorders>
          </w:tcPr>
          <w:p>
            <w:pPr>
              <w:pStyle w:val="Normal"/>
              <w:pBdr/>
              <w:ind w:left="720" w:hanging="0"/>
              <w:jc w:val="both"/>
              <w:rPr>
                <w:rFonts w:ascii="Arial" w:hAnsi="Arial" w:eastAsia="Arial" w:cs="Arial"/>
              </w:rPr>
            </w:pPr>
            <w:r>
              <w:rPr>
                <w:rFonts w:eastAsia="Arial" w:cs="Arial" w:ascii="Arial" w:hAnsi="Arial"/>
              </w:rPr>
            </w:r>
          </w:p>
          <w:p>
            <w:pPr>
              <w:pStyle w:val="Normal"/>
              <w:pBdr/>
              <w:ind w:left="720" w:hanging="0"/>
              <w:jc w:val="both"/>
              <w:rPr>
                <w:rFonts w:ascii="Arial" w:hAnsi="Arial" w:eastAsia="Arial" w:cs="Arial"/>
              </w:rPr>
            </w:pPr>
            <w:r>
              <w:rPr>
                <w:rFonts w:eastAsia="Arial" w:cs="Arial" w:ascii="Arial" w:hAnsi="Arial"/>
              </w:rPr>
              <w:t>O consultor deverá apresentar:</w:t>
            </w:r>
          </w:p>
          <w:p>
            <w:pPr>
              <w:pStyle w:val="Normal"/>
              <w:pBdr/>
              <w:ind w:left="720" w:hanging="0"/>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Produto 1 (P1): Relatório contendo diagnóstico dos dados das principais bases de dados previstas na Portaria MAPA nº 162/2020.</w:t>
            </w:r>
          </w:p>
          <w:p>
            <w:pPr>
              <w:pStyle w:val="Normal"/>
              <w:numPr>
                <w:ilvl w:val="0"/>
                <w:numId w:val="2"/>
              </w:numPr>
              <w:pBdr/>
              <w:jc w:val="both"/>
              <w:rPr>
                <w:rFonts w:ascii="Arial" w:hAnsi="Arial" w:eastAsia="Arial" w:cs="Arial"/>
              </w:rPr>
            </w:pPr>
            <w:r>
              <w:rPr>
                <w:rFonts w:eastAsia="Arial" w:cs="Arial" w:ascii="Arial" w:hAnsi="Arial"/>
              </w:rPr>
              <w:t>Elaborar Catálogo de Dados;</w:t>
            </w:r>
          </w:p>
          <w:p>
            <w:pPr>
              <w:pStyle w:val="Normal"/>
              <w:numPr>
                <w:ilvl w:val="0"/>
                <w:numId w:val="2"/>
              </w:numPr>
              <w:pBdr/>
              <w:jc w:val="both"/>
              <w:rPr>
                <w:rFonts w:ascii="Arial" w:hAnsi="Arial" w:eastAsia="Arial" w:cs="Arial"/>
              </w:rPr>
            </w:pPr>
            <w:r>
              <w:rPr>
                <w:rFonts w:eastAsia="Arial" w:cs="Arial" w:ascii="Arial" w:hAnsi="Arial"/>
              </w:rPr>
              <w:t>Definição do escopo das bases de dados prioritárias que devem ser atendidas;</w:t>
            </w:r>
          </w:p>
          <w:p>
            <w:pPr>
              <w:pStyle w:val="Normal"/>
              <w:numPr>
                <w:ilvl w:val="0"/>
                <w:numId w:val="2"/>
              </w:numPr>
              <w:pBdr/>
              <w:jc w:val="both"/>
              <w:rPr>
                <w:rFonts w:ascii="Arial" w:hAnsi="Arial" w:eastAsia="Arial" w:cs="Arial"/>
              </w:rPr>
            </w:pPr>
            <w:r>
              <w:rPr>
                <w:rFonts w:eastAsia="Arial" w:cs="Arial" w:ascii="Arial" w:hAnsi="Arial"/>
              </w:rPr>
              <w:t>Mapeamento de sistemas conectados a cada base de dados;</w:t>
            </w:r>
          </w:p>
          <w:p>
            <w:pPr>
              <w:pStyle w:val="Normal"/>
              <w:numPr>
                <w:ilvl w:val="0"/>
                <w:numId w:val="2"/>
              </w:numPr>
              <w:pBdr/>
              <w:jc w:val="both"/>
              <w:rPr>
                <w:rFonts w:ascii="Arial" w:hAnsi="Arial" w:eastAsia="Arial" w:cs="Arial"/>
              </w:rPr>
            </w:pPr>
            <w:r>
              <w:rPr>
                <w:rFonts w:eastAsia="Arial" w:cs="Arial" w:ascii="Arial" w:hAnsi="Arial"/>
              </w:rPr>
              <w:t>Identificar padrões, rotinas e processos para obtenção de informações alfanuméricas, geodados e geoinformação;</w:t>
            </w:r>
          </w:p>
          <w:p>
            <w:pPr>
              <w:pStyle w:val="Normal"/>
              <w:numPr>
                <w:ilvl w:val="0"/>
                <w:numId w:val="2"/>
              </w:numPr>
              <w:pBdr/>
              <w:jc w:val="both"/>
              <w:rPr>
                <w:rFonts w:ascii="Arial" w:hAnsi="Arial" w:eastAsia="Arial" w:cs="Arial"/>
              </w:rPr>
            </w:pPr>
            <w:r>
              <w:rPr>
                <w:rFonts w:eastAsia="Arial" w:cs="Arial" w:ascii="Arial" w:hAnsi="Arial"/>
              </w:rPr>
              <w:t>Identificação das propriedades dos dados, a classificação do dado de acordo com a possibilidade de utilização geográfica e a utilização dos dados (em quais processos);</w:t>
            </w:r>
          </w:p>
          <w:p>
            <w:pPr>
              <w:pStyle w:val="Normal"/>
              <w:numPr>
                <w:ilvl w:val="0"/>
                <w:numId w:val="2"/>
              </w:numPr>
              <w:pBdr/>
              <w:jc w:val="both"/>
              <w:rPr>
                <w:rFonts w:ascii="Arial" w:hAnsi="Arial" w:eastAsia="Arial" w:cs="Arial"/>
              </w:rPr>
            </w:pPr>
            <w:r>
              <w:rPr>
                <w:rFonts w:eastAsia="Arial" w:cs="Arial" w:ascii="Arial" w:hAnsi="Arial"/>
              </w:rPr>
              <w:t>Identificação de critério de qualidade dos dados.</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Produto 2 (P2): Documento técnico contendo proposta de ambiente de dados que permita acesso às principais bases de dados por meio de orquestração de serviços de dados.</w:t>
            </w:r>
          </w:p>
          <w:p>
            <w:pPr>
              <w:pStyle w:val="Normal"/>
              <w:numPr>
                <w:ilvl w:val="0"/>
                <w:numId w:val="2"/>
              </w:numPr>
              <w:pBdr/>
              <w:jc w:val="both"/>
              <w:rPr>
                <w:rFonts w:ascii="Arial" w:hAnsi="Arial" w:eastAsia="Arial" w:cs="Arial"/>
              </w:rPr>
            </w:pPr>
            <w:r>
              <w:rPr>
                <w:rFonts w:eastAsia="Arial" w:cs="Arial" w:ascii="Arial" w:hAnsi="Arial"/>
              </w:rPr>
              <w:t>Propor modelo de arquitetura de solução, contendo ferramentas, componentes, estruturas e fluxos de processos;</w:t>
            </w:r>
          </w:p>
          <w:p>
            <w:pPr>
              <w:pStyle w:val="Normal"/>
              <w:numPr>
                <w:ilvl w:val="0"/>
                <w:numId w:val="2"/>
              </w:numPr>
              <w:pBdr/>
              <w:jc w:val="both"/>
              <w:rPr>
                <w:rFonts w:ascii="Arial" w:hAnsi="Arial" w:eastAsia="Arial" w:cs="Arial"/>
              </w:rPr>
            </w:pPr>
            <w:r>
              <w:rPr>
                <w:rFonts w:eastAsia="Arial" w:cs="Arial" w:ascii="Arial" w:hAnsi="Arial"/>
              </w:rPr>
              <w:t>Propor arquitetura de solução em ambiente on-premise e/ou cloud;</w:t>
            </w:r>
          </w:p>
          <w:p>
            <w:pPr>
              <w:pStyle w:val="Normal"/>
              <w:numPr>
                <w:ilvl w:val="0"/>
                <w:numId w:val="2"/>
              </w:numPr>
              <w:pBdr/>
              <w:jc w:val="both"/>
              <w:rPr>
                <w:rFonts w:ascii="Arial" w:hAnsi="Arial" w:eastAsia="Arial" w:cs="Arial"/>
              </w:rPr>
            </w:pPr>
            <w:r>
              <w:rPr>
                <w:rFonts w:eastAsia="Arial" w:cs="Arial" w:ascii="Arial" w:hAnsi="Arial"/>
              </w:rPr>
              <w:t>Organização de processos e atividades com vistas à documentação plena da automatização das atividades;</w:t>
            </w:r>
          </w:p>
          <w:p>
            <w:pPr>
              <w:pStyle w:val="Normal"/>
              <w:numPr>
                <w:ilvl w:val="0"/>
                <w:numId w:val="2"/>
              </w:numPr>
              <w:pBdr/>
              <w:jc w:val="both"/>
              <w:rPr>
                <w:rFonts w:ascii="Arial" w:hAnsi="Arial" w:eastAsia="Arial" w:cs="Arial"/>
              </w:rPr>
            </w:pPr>
            <w:r>
              <w:rPr>
                <w:rFonts w:eastAsia="Arial" w:cs="Arial" w:ascii="Arial" w:hAnsi="Arial"/>
              </w:rPr>
              <w:t>Propor uma arquitetura de base de dados com tecnologia capaz de armazenar o grande volume de informações;</w:t>
            </w:r>
          </w:p>
          <w:p>
            <w:pPr>
              <w:pStyle w:val="Normal"/>
              <w:numPr>
                <w:ilvl w:val="0"/>
                <w:numId w:val="2"/>
              </w:numPr>
              <w:pBdr/>
              <w:jc w:val="both"/>
              <w:rPr>
                <w:rFonts w:ascii="Arial" w:hAnsi="Arial" w:eastAsia="Arial" w:cs="Arial"/>
              </w:rPr>
            </w:pPr>
            <w:r>
              <w:rPr>
                <w:rFonts w:eastAsia="Arial" w:cs="Arial" w:ascii="Arial" w:hAnsi="Arial"/>
              </w:rPr>
              <w:t>Identificar os procedimentos necessários para a disponibilização dessa arquitetura considerando bases de dados em locais geograficamente distintos;</w:t>
            </w:r>
          </w:p>
          <w:p>
            <w:pPr>
              <w:pStyle w:val="Normal"/>
              <w:numPr>
                <w:ilvl w:val="0"/>
                <w:numId w:val="2"/>
              </w:numPr>
              <w:pBdr/>
              <w:jc w:val="both"/>
              <w:rPr>
                <w:rFonts w:ascii="Arial" w:hAnsi="Arial" w:eastAsia="Arial" w:cs="Arial"/>
              </w:rPr>
            </w:pPr>
            <w:r>
              <w:rPr>
                <w:rFonts w:eastAsia="Arial" w:cs="Arial" w:ascii="Arial" w:hAnsi="Arial"/>
              </w:rPr>
              <w:t>Documentar todos os processos realizados para a disponibilização da arquitetura.</w:t>
            </w:r>
          </w:p>
          <w:p>
            <w:pPr>
              <w:pStyle w:val="Normal"/>
              <w:pBdr/>
              <w:ind w:left="720" w:hanging="0"/>
              <w:jc w:val="both"/>
              <w:rPr>
                <w:rFonts w:ascii="Arial" w:hAnsi="Arial" w:eastAsia="Arial" w:cs="Arial"/>
              </w:rPr>
            </w:pPr>
            <w:r>
              <w:rPr>
                <w:rFonts w:eastAsia="Arial" w:cs="Arial" w:ascii="Arial" w:hAnsi="Arial"/>
              </w:rPr>
            </w:r>
          </w:p>
          <w:p>
            <w:pPr>
              <w:pStyle w:val="Normal"/>
              <w:ind w:firstLine="447"/>
              <w:jc w:val="both"/>
              <w:rPr>
                <w:rFonts w:ascii="Arial" w:hAnsi="Arial" w:eastAsia="Arial" w:cs="Arial"/>
              </w:rPr>
            </w:pPr>
            <w:r>
              <w:rPr>
                <w:rFonts w:eastAsia="Arial" w:cs="Arial" w:ascii="Arial" w:hAnsi="Arial"/>
              </w:rPr>
              <w:t>Produto 3 (P3): Documento técnico contendo proposta de ferramentas de análise de dados e big data.</w:t>
            </w:r>
          </w:p>
          <w:p>
            <w:pPr>
              <w:pStyle w:val="Normal"/>
              <w:numPr>
                <w:ilvl w:val="0"/>
                <w:numId w:val="2"/>
              </w:numPr>
              <w:pBdr/>
              <w:jc w:val="both"/>
              <w:rPr>
                <w:rFonts w:ascii="Arial" w:hAnsi="Arial" w:eastAsia="Arial" w:cs="Arial"/>
              </w:rPr>
            </w:pPr>
            <w:r>
              <w:rPr>
                <w:rFonts w:eastAsia="Arial" w:cs="Arial" w:ascii="Arial" w:hAnsi="Arial"/>
              </w:rPr>
              <w:t>Apresentar um conjunto de ferramentas, que possam prover um ambiente para análise de dados;</w:t>
            </w:r>
          </w:p>
          <w:p>
            <w:pPr>
              <w:pStyle w:val="Normal"/>
              <w:numPr>
                <w:ilvl w:val="0"/>
                <w:numId w:val="2"/>
              </w:numPr>
              <w:pBdr/>
              <w:jc w:val="both"/>
              <w:rPr>
                <w:rFonts w:ascii="Arial" w:hAnsi="Arial" w:eastAsia="Arial" w:cs="Arial"/>
              </w:rPr>
            </w:pPr>
            <w:r>
              <w:rPr>
                <w:rFonts w:eastAsia="Arial" w:cs="Arial" w:ascii="Arial" w:hAnsi="Arial"/>
              </w:rPr>
              <w:t>Propor ferramentas que possam realizar a extração das informações nas bases de dados;</w:t>
            </w:r>
          </w:p>
          <w:p>
            <w:pPr>
              <w:pStyle w:val="Normal"/>
              <w:numPr>
                <w:ilvl w:val="0"/>
                <w:numId w:val="2"/>
              </w:numPr>
              <w:pBdr/>
              <w:jc w:val="both"/>
              <w:rPr>
                <w:rFonts w:ascii="Arial" w:hAnsi="Arial" w:eastAsia="Arial" w:cs="Arial"/>
              </w:rPr>
            </w:pPr>
            <w:r>
              <w:rPr>
                <w:rFonts w:eastAsia="Arial" w:cs="Arial" w:ascii="Arial" w:hAnsi="Arial"/>
              </w:rPr>
              <w:t>Propor ferramentas que possam auxiliar no tratamento e transformação dos dados;</w:t>
            </w:r>
          </w:p>
          <w:p>
            <w:pPr>
              <w:pStyle w:val="Normal"/>
              <w:numPr>
                <w:ilvl w:val="0"/>
                <w:numId w:val="2"/>
              </w:numPr>
              <w:pBdr/>
              <w:jc w:val="both"/>
              <w:rPr>
                <w:rFonts w:ascii="Arial" w:hAnsi="Arial" w:eastAsia="Arial" w:cs="Arial"/>
              </w:rPr>
            </w:pPr>
            <w:r>
              <w:rPr>
                <w:rFonts w:eastAsia="Arial" w:cs="Arial" w:ascii="Arial" w:hAnsi="Arial"/>
              </w:rPr>
              <w:t>Apresentar relatório com Procedimentos Operacionais Padrões para utilização das soluções implementadas.</w:t>
            </w:r>
          </w:p>
          <w:p>
            <w:pPr>
              <w:pStyle w:val="Normal"/>
              <w:ind w:firstLine="447"/>
              <w:jc w:val="both"/>
              <w:rPr>
                <w:rFonts w:ascii="Arial" w:hAnsi="Arial" w:eastAsia="Arial" w:cs="Arial"/>
              </w:rPr>
            </w:pPr>
            <w:r>
              <w:rPr>
                <w:rFonts w:eastAsia="Arial" w:cs="Arial" w:ascii="Arial" w:hAnsi="Arial"/>
              </w:rPr>
            </w:r>
          </w:p>
          <w:p>
            <w:pPr>
              <w:pStyle w:val="Normal"/>
              <w:ind w:firstLine="447"/>
              <w:jc w:val="both"/>
              <w:rPr>
                <w:rFonts w:ascii="Arial" w:hAnsi="Arial" w:eastAsia="Arial" w:cs="Arial"/>
              </w:rPr>
            </w:pPr>
            <w:r>
              <w:rPr>
                <w:rFonts w:eastAsia="Arial" w:cs="Arial" w:ascii="Arial" w:hAnsi="Arial"/>
              </w:rPr>
              <w:t>Produto 4 (P4): Documento técnico contendo proposta de solução de auto serviço em inteligência de dados de arquitetura que possa prover a integração contínua de dados entre o MAPA e suas vinculadas.</w:t>
            </w:r>
          </w:p>
          <w:p>
            <w:pPr>
              <w:pStyle w:val="Normal"/>
              <w:numPr>
                <w:ilvl w:val="0"/>
                <w:numId w:val="2"/>
              </w:numPr>
              <w:pBdr/>
              <w:jc w:val="both"/>
              <w:rPr>
                <w:rFonts w:ascii="Arial" w:hAnsi="Arial" w:eastAsia="Arial" w:cs="Arial"/>
              </w:rPr>
            </w:pPr>
            <w:r>
              <w:rPr>
                <w:rFonts w:eastAsia="Arial" w:cs="Arial" w:ascii="Arial" w:hAnsi="Arial"/>
              </w:rPr>
              <w:t>Apresentar todos os componentes que devem ser considerados para a visualização clara da saúde das aplicações;</w:t>
            </w:r>
          </w:p>
          <w:p>
            <w:pPr>
              <w:pStyle w:val="Normal"/>
              <w:numPr>
                <w:ilvl w:val="0"/>
                <w:numId w:val="2"/>
              </w:numPr>
              <w:pBdr/>
              <w:jc w:val="both"/>
              <w:rPr>
                <w:rFonts w:ascii="Arial" w:hAnsi="Arial" w:eastAsia="Arial" w:cs="Arial"/>
              </w:rPr>
            </w:pPr>
            <w:r>
              <w:rPr>
                <w:rFonts w:eastAsia="Arial" w:cs="Arial" w:ascii="Arial" w:hAnsi="Arial"/>
              </w:rPr>
              <w:t>Propor ferramentas para o monitoramento de todos os elementos que compõem o presente projeto;</w:t>
            </w:r>
          </w:p>
          <w:p>
            <w:pPr>
              <w:pStyle w:val="Normal"/>
              <w:numPr>
                <w:ilvl w:val="0"/>
                <w:numId w:val="2"/>
              </w:numPr>
              <w:pBdr/>
              <w:jc w:val="both"/>
              <w:rPr>
                <w:rFonts w:ascii="Arial" w:hAnsi="Arial" w:eastAsia="Arial" w:cs="Arial"/>
              </w:rPr>
            </w:pPr>
            <w:r>
              <w:rPr>
                <w:rFonts w:eastAsia="Arial" w:cs="Arial" w:ascii="Arial" w:hAnsi="Arial"/>
              </w:rPr>
              <w:t>Identificar formas de realizar o monitoramento do fluxo de dados utilizado no presente projeto;</w:t>
            </w:r>
          </w:p>
          <w:p>
            <w:pPr>
              <w:pStyle w:val="Normal"/>
              <w:numPr>
                <w:ilvl w:val="0"/>
                <w:numId w:val="2"/>
              </w:numPr>
              <w:pBdr/>
              <w:jc w:val="both"/>
              <w:rPr>
                <w:rFonts w:ascii="Arial" w:hAnsi="Arial" w:eastAsia="Arial" w:cs="Arial"/>
              </w:rPr>
            </w:pPr>
            <w:r>
              <w:rPr>
                <w:rFonts w:eastAsia="Arial" w:cs="Arial" w:ascii="Arial" w:hAnsi="Arial"/>
              </w:rPr>
              <w:t xml:space="preserve">Identificar ferramentas e mecanismos para visualizar o </w:t>
            </w:r>
            <w:r>
              <w:rPr>
                <w:rFonts w:eastAsia="Arial" w:cs="Arial" w:ascii="Arial" w:hAnsi="Arial"/>
                <w:i/>
              </w:rPr>
              <w:t>status</w:t>
            </w:r>
            <w:r>
              <w:rPr>
                <w:rFonts w:eastAsia="Arial" w:cs="Arial" w:ascii="Arial" w:hAnsi="Arial"/>
              </w:rPr>
              <w:t xml:space="preserve"> de funcionamento das ferramentas do presente projeto;</w:t>
            </w:r>
          </w:p>
          <w:p>
            <w:pPr>
              <w:pStyle w:val="Normal"/>
              <w:numPr>
                <w:ilvl w:val="0"/>
                <w:numId w:val="2"/>
              </w:numPr>
              <w:pBdr/>
              <w:jc w:val="both"/>
              <w:rPr>
                <w:rFonts w:ascii="Arial" w:hAnsi="Arial" w:eastAsia="Arial" w:cs="Arial"/>
              </w:rPr>
            </w:pPr>
            <w:r>
              <w:rPr>
                <w:rFonts w:eastAsia="Arial" w:cs="Arial" w:ascii="Arial" w:hAnsi="Arial"/>
              </w:rPr>
              <w:t>Identificar métricas tais como taxas de transferência de tabelas e latência;</w:t>
            </w:r>
          </w:p>
          <w:p>
            <w:pPr>
              <w:pStyle w:val="Normal"/>
              <w:numPr>
                <w:ilvl w:val="0"/>
                <w:numId w:val="2"/>
              </w:numPr>
              <w:pBdr/>
              <w:jc w:val="both"/>
              <w:rPr>
                <w:rFonts w:ascii="Arial" w:hAnsi="Arial" w:eastAsia="Arial" w:cs="Arial"/>
              </w:rPr>
            </w:pPr>
            <w:r>
              <w:rPr>
                <w:rFonts w:eastAsia="Arial" w:cs="Arial" w:ascii="Arial" w:hAnsi="Arial"/>
              </w:rPr>
              <w:t>Identificar formas de análise dos recursos utilizados, assim como histórico de configurações realizadas com o intuito de aprimorar a segurança e conformidade;</w:t>
            </w:r>
          </w:p>
          <w:p>
            <w:pPr>
              <w:pStyle w:val="Normal"/>
              <w:numPr>
                <w:ilvl w:val="0"/>
                <w:numId w:val="2"/>
              </w:numPr>
              <w:pBdr/>
              <w:jc w:val="both"/>
              <w:rPr>
                <w:rFonts w:ascii="Arial" w:hAnsi="Arial" w:eastAsia="Arial" w:cs="Arial"/>
              </w:rPr>
            </w:pPr>
            <w:r>
              <w:rPr>
                <w:rFonts w:eastAsia="Arial" w:cs="Arial" w:ascii="Arial" w:hAnsi="Arial"/>
              </w:rPr>
              <w:t>Identificar formas de realizar o monitoramento de acesso aos dados, tais como: quantidade de erros, quantidade de dados transferidos, porcentagem de disponibilidade do serviço.</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Produto 5 (P5): Elaborar relatório contendo plano de integração das principais bases de dados identificadas na Portaria MAPA nº 162/2020. </w:t>
            </w:r>
          </w:p>
        </w:tc>
      </w:tr>
    </w:tbl>
    <w:p>
      <w:pPr>
        <w:pStyle w:val="Normal"/>
        <w:rPr/>
      </w:pPr>
      <w:r>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9.</w:t>
        <w:tab/>
        <w:t>ENTREGA DOS PRODUTOS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Os produtos entregues pelo consultor deverão ser aprovados pela CGTI, sendo entregue em formato digital editável, seguindo os padrões referentes a produtos da Cooperação Técnica com base no Manual do IICA. </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O consultor deverá garantir que os serviços executados sejam realizados com qualidade, atendendo a todas as especificações no prazo estabelecido neste termo de referência, cumprindo com as orientações realizadas pelo supervisor da consultoria e submetendo, para apreciação e aprovação, as modificações necessárias para realização dos produtos. </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Não serão aceitos produtos que apresentem mera reprodução de conteúdo da Internet ou livros de outros autores sem os créditos devidos, sem que tais conteúdos sejam minimamente tratados/analisados pelo consultor, ou que não estejam previstos no contrato. A cópia integral ou parcial de conteúdo sem a devida menção de referência constitui-se em plágio, que é crime previsto em lei.</w:t>
      </w:r>
    </w:p>
    <w:p>
      <w:pPr>
        <w:pStyle w:val="Normal"/>
        <w:spacing w:before="120" w:after="120"/>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10</w:t>
        <w:tab/>
        <w:t xml:space="preserve">ESTRATÉGIA DE AÇÃO </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A estratégia de desenvolvimento do trabalho do consultor considera que os serviços técnicos serão prestados em 12 meses. </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As ações serão desenvolvidas de forma conjunta, envolvendo a equipe da CGOD/CGTI/DA/SE, de forma a garantir a eficácia e a continuidade das interações, durante e após a vigência do contrato.</w:t>
      </w:r>
    </w:p>
    <w:p>
      <w:pPr>
        <w:pStyle w:val="Normal"/>
        <w:rPr>
          <w:rFonts w:ascii="Arial" w:hAnsi="Arial" w:eastAsia="Arial" w:cs="Arial"/>
        </w:rPr>
      </w:pPr>
      <w:r>
        <w:rPr>
          <w:rFonts w:eastAsia="Arial" w:cs="Arial" w:ascii="Arial" w:hAnsi="Arial"/>
        </w:rPr>
      </w:r>
    </w:p>
    <w:p>
      <w:pPr>
        <w:pStyle w:val="Normal"/>
        <w:shd w:val="clear" w:color="auto" w:fill="CCCCCC"/>
        <w:tabs>
          <w:tab w:val="left" w:pos="720" w:leader="none"/>
          <w:tab w:val="left" w:pos="900" w:leader="none"/>
          <w:tab w:val="left" w:pos="5940" w:leader="none"/>
        </w:tabs>
        <w:rPr>
          <w:rFonts w:ascii="Arial" w:hAnsi="Arial" w:eastAsia="Arial" w:cs="Arial"/>
          <w:b/>
          <w:b/>
        </w:rPr>
      </w:pPr>
      <w:r>
        <w:rPr>
          <w:rFonts w:eastAsia="Arial" w:cs="Arial" w:ascii="Arial" w:hAnsi="Arial"/>
          <w:b/>
        </w:rPr>
        <w:t xml:space="preserve">11. </w:t>
        <w:tab/>
        <w:t>LOCAL DE REALIZAÇÃO DOS SERVIÇOS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Local de realização da consultoria: Brasília/DF. </w:t>
      </w:r>
    </w:p>
    <w:p>
      <w:pPr>
        <w:pStyle w:val="Normal"/>
        <w:pBdr/>
        <w:ind w:firstLine="447"/>
        <w:jc w:val="both"/>
        <w:rPr>
          <w:rFonts w:ascii="Arial" w:hAnsi="Arial" w:eastAsia="Arial" w:cs="Arial"/>
          <w:b/>
          <w:b/>
        </w:rPr>
      </w:pPr>
      <w:r>
        <w:rPr>
          <w:rFonts w:eastAsia="Arial" w:cs="Arial" w:ascii="Arial" w:hAnsi="Arial"/>
        </w:rPr>
        <w:t xml:space="preserve">A Coordenação-Geral de Tecnologia da Informação – CGTI/DA/SE será responsável por assegurar o acesso do consultor aos técnicos que atuarão como contraparte no desenvolvimento do trabalho. Os custos com eventuais viagens necessárias para realização dos trabalhos previstos neste Termo de Referência serão tratados conforme exposto no capítulo </w:t>
      </w:r>
      <w:r>
        <w:rPr>
          <w:rFonts w:eastAsia="Arial" w:cs="Arial" w:ascii="Arial" w:hAnsi="Arial"/>
          <w:b/>
        </w:rPr>
        <w:t>“Insumos”.</w:t>
      </w:r>
    </w:p>
    <w:p>
      <w:pPr>
        <w:pStyle w:val="Normal"/>
        <w:jc w:val="both"/>
        <w:rPr>
          <w:rFonts w:ascii="Arial" w:hAnsi="Arial" w:eastAsia="Arial" w:cs="Arial"/>
        </w:rPr>
      </w:pPr>
      <w:r>
        <w:rPr>
          <w:rFonts w:eastAsia="Arial" w:cs="Arial" w:ascii="Arial" w:hAnsi="Arial"/>
        </w:rPr>
      </w:r>
    </w:p>
    <w:p>
      <w:pPr>
        <w:pStyle w:val="Normal"/>
        <w:shd w:val="clear" w:color="auto" w:fill="BFBFBF"/>
        <w:jc w:val="both"/>
        <w:rPr>
          <w:rFonts w:ascii="Arial" w:hAnsi="Arial" w:eastAsia="Arial" w:cs="Arial"/>
          <w:b/>
          <w:b/>
        </w:rPr>
      </w:pPr>
      <w:r>
        <w:rPr>
          <w:rFonts w:eastAsia="Arial" w:cs="Arial" w:ascii="Arial" w:hAnsi="Arial"/>
          <w:b/>
        </w:rPr>
        <w:t>12.</w:t>
      </w:r>
      <w:r>
        <w:rPr>
          <w:rFonts w:eastAsia="Arial" w:cs="Arial" w:ascii="Arial" w:hAnsi="Arial"/>
        </w:rPr>
        <w:tab/>
      </w:r>
      <w:r>
        <w:rPr>
          <w:rFonts w:eastAsia="Arial" w:cs="Arial" w:ascii="Arial" w:hAnsi="Arial"/>
          <w:b/>
        </w:rPr>
        <w:t>CRONOGRAMA DE EXECUÇÃO</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 período previsto para a execução dos serviços é de</w:t>
      </w:r>
      <w:r>
        <w:rPr>
          <w:rFonts w:eastAsia="Arial" w:cs="Arial" w:ascii="Arial" w:hAnsi="Arial"/>
          <w:b/>
        </w:rPr>
        <w:t xml:space="preserve"> 12</w:t>
      </w:r>
      <w:r>
        <w:rPr>
          <w:rFonts w:eastAsia="Arial" w:cs="Arial" w:ascii="Arial" w:hAnsi="Arial"/>
        </w:rPr>
        <w:t xml:space="preserve"> meses, contados a partir da assinatura do contrato. A seguir, segue o cronograma de execução de entrega dos produtos:</w:t>
      </w:r>
    </w:p>
    <w:p>
      <w:pPr>
        <w:pStyle w:val="Normal"/>
        <w:spacing w:before="0" w:after="200"/>
        <w:rPr>
          <w:rFonts w:ascii="Arial" w:hAnsi="Arial" w:eastAsia="Arial" w:cs="Arial"/>
          <w:color w:val="000000"/>
        </w:rPr>
      </w:pPr>
      <w:r>
        <w:rPr>
          <w:rFonts w:eastAsia="Arial" w:cs="Arial" w:ascii="Arial" w:hAnsi="Arial"/>
          <w:b/>
          <w:color w:val="000000"/>
        </w:rPr>
        <w:t>Quadro 1</w:t>
      </w:r>
      <w:r>
        <w:rPr>
          <w:rFonts w:eastAsia="Arial" w:cs="Arial" w:ascii="Arial" w:hAnsi="Arial"/>
          <w:i/>
          <w:color w:val="000000"/>
        </w:rPr>
        <w:t xml:space="preserve">. </w:t>
      </w:r>
      <w:r>
        <w:rPr>
          <w:rFonts w:eastAsia="Arial" w:cs="Arial" w:ascii="Arial" w:hAnsi="Arial"/>
          <w:color w:val="000000"/>
        </w:rPr>
        <w:t>Cronograma de Execução</w:t>
      </w:r>
    </w:p>
    <w:tbl>
      <w:tblPr>
        <w:tblStyle w:val="afff2"/>
        <w:tblW w:w="9167" w:type="dxa"/>
        <w:jc w:val="left"/>
        <w:tblInd w:w="37" w:type="dxa"/>
        <w:tblCellMar>
          <w:top w:w="0" w:type="dxa"/>
          <w:left w:w="108" w:type="dxa"/>
          <w:bottom w:w="0" w:type="dxa"/>
          <w:right w:w="108" w:type="dxa"/>
        </w:tblCellMar>
        <w:tblLook w:firstRow="0" w:noVBand="1" w:lastRow="0" w:firstColumn="0" w:lastColumn="0" w:noHBand="1" w:val="0600"/>
      </w:tblPr>
      <w:tblGrid>
        <w:gridCol w:w="1289"/>
        <w:gridCol w:w="648"/>
        <w:gridCol w:w="11"/>
        <w:gridCol w:w="639"/>
        <w:gridCol w:w="22"/>
        <w:gridCol w:w="626"/>
        <w:gridCol w:w="33"/>
        <w:gridCol w:w="616"/>
        <w:gridCol w:w="44"/>
        <w:gridCol w:w="606"/>
        <w:gridCol w:w="55"/>
        <w:gridCol w:w="594"/>
        <w:gridCol w:w="66"/>
        <w:gridCol w:w="583"/>
        <w:gridCol w:w="77"/>
        <w:gridCol w:w="572"/>
        <w:gridCol w:w="88"/>
        <w:gridCol w:w="561"/>
        <w:gridCol w:w="99"/>
        <w:gridCol w:w="551"/>
        <w:gridCol w:w="110"/>
        <w:gridCol w:w="538"/>
        <w:gridCol w:w="121"/>
        <w:gridCol w:w="617"/>
      </w:tblGrid>
      <w:tr>
        <w:trPr/>
        <w:tc>
          <w:tcPr>
            <w:tcW w:w="1289" w:type="dxa"/>
            <w:tcBorders>
              <w:top w:val="single" w:sz="8" w:space="0" w:color="000000"/>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48" w:type="dxa"/>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1</w:t>
            </w:r>
          </w:p>
        </w:tc>
        <w:tc>
          <w:tcPr>
            <w:tcW w:w="650"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2</w:t>
            </w:r>
          </w:p>
        </w:tc>
        <w:tc>
          <w:tcPr>
            <w:tcW w:w="648"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3</w:t>
            </w:r>
          </w:p>
        </w:tc>
        <w:tc>
          <w:tcPr>
            <w:tcW w:w="649"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4</w:t>
            </w:r>
          </w:p>
        </w:tc>
        <w:tc>
          <w:tcPr>
            <w:tcW w:w="650"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5</w:t>
            </w:r>
          </w:p>
        </w:tc>
        <w:tc>
          <w:tcPr>
            <w:tcW w:w="649"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6</w:t>
            </w:r>
          </w:p>
        </w:tc>
        <w:tc>
          <w:tcPr>
            <w:tcW w:w="649"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7</w:t>
            </w:r>
          </w:p>
        </w:tc>
        <w:tc>
          <w:tcPr>
            <w:tcW w:w="649"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8</w:t>
            </w:r>
          </w:p>
        </w:tc>
        <w:tc>
          <w:tcPr>
            <w:tcW w:w="649"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9</w:t>
            </w:r>
          </w:p>
        </w:tc>
        <w:tc>
          <w:tcPr>
            <w:tcW w:w="650"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10</w:t>
            </w:r>
          </w:p>
        </w:tc>
        <w:tc>
          <w:tcPr>
            <w:tcW w:w="648" w:type="dxa"/>
            <w:gridSpan w:val="2"/>
            <w:tcBorders>
              <w:top w:val="single" w:sz="8" w:space="0" w:color="000000"/>
              <w:bottom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11</w:t>
            </w:r>
          </w:p>
        </w:tc>
        <w:tc>
          <w:tcPr>
            <w:tcW w:w="738" w:type="dxa"/>
            <w:gridSpan w:val="2"/>
            <w:tcBorders>
              <w:top w:val="single" w:sz="8" w:space="0" w:color="000000"/>
              <w:bottom w:val="single" w:sz="8" w:space="0" w:color="000000"/>
              <w:right w:val="single" w:sz="8" w:space="0" w:color="000000"/>
            </w:tcBorders>
          </w:tcPr>
          <w:p>
            <w:pPr>
              <w:pStyle w:val="Normal"/>
              <w:keepNext w:val="true"/>
              <w:spacing w:before="240" w:after="240"/>
              <w:jc w:val="center"/>
              <w:rPr>
                <w:rFonts w:ascii="Arial" w:hAnsi="Arial" w:eastAsia="Arial" w:cs="Arial"/>
                <w:sz w:val="20"/>
                <w:szCs w:val="20"/>
              </w:rPr>
            </w:pPr>
            <w:r>
              <w:rPr>
                <w:rFonts w:eastAsia="Arial" w:cs="Arial" w:ascii="Arial" w:hAnsi="Arial"/>
                <w:sz w:val="20"/>
                <w:szCs w:val="20"/>
              </w:rPr>
              <w:t>Mês 12</w:t>
            </w:r>
          </w:p>
        </w:tc>
      </w:tr>
      <w:tr>
        <w:trPr/>
        <w:tc>
          <w:tcPr>
            <w:tcW w:w="1289" w:type="dxa"/>
            <w:tcBorders>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Produto 1</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17" w:type="dxa"/>
            <w:tcBorders>
              <w:bottom w:val="single" w:sz="8" w:space="0" w:color="000000"/>
              <w:right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r>
      <w:tr>
        <w:trPr/>
        <w:tc>
          <w:tcPr>
            <w:tcW w:w="1289" w:type="dxa"/>
            <w:tcBorders>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Produto 2</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17" w:type="dxa"/>
            <w:tcBorders>
              <w:bottom w:val="single" w:sz="8" w:space="0" w:color="000000"/>
              <w:right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r>
      <w:tr>
        <w:trPr>
          <w:trHeight w:val="353" w:hRule="atLeast"/>
        </w:trPr>
        <w:tc>
          <w:tcPr>
            <w:tcW w:w="1289" w:type="dxa"/>
            <w:tcBorders>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Produto 3</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17" w:type="dxa"/>
            <w:tcBorders>
              <w:bottom w:val="single" w:sz="8" w:space="0" w:color="000000"/>
              <w:right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r>
      <w:tr>
        <w:trPr/>
        <w:tc>
          <w:tcPr>
            <w:tcW w:w="1289" w:type="dxa"/>
            <w:tcBorders>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Produto 4</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17" w:type="dxa"/>
            <w:tcBorders>
              <w:bottom w:val="single" w:sz="8" w:space="0" w:color="000000"/>
              <w:right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r>
      <w:tr>
        <w:trPr/>
        <w:tc>
          <w:tcPr>
            <w:tcW w:w="1289" w:type="dxa"/>
            <w:tcBorders>
              <w:left w:val="single" w:sz="8" w:space="0" w:color="000000"/>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Produto 5</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 </w:t>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60"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rPr>
            </w:r>
          </w:p>
        </w:tc>
        <w:tc>
          <w:tcPr>
            <w:tcW w:w="661"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X</w:t>
            </w:r>
          </w:p>
        </w:tc>
        <w:tc>
          <w:tcPr>
            <w:tcW w:w="659" w:type="dxa"/>
            <w:gridSpan w:val="2"/>
            <w:tcBorders>
              <w:bottom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X </w:t>
            </w:r>
          </w:p>
        </w:tc>
        <w:tc>
          <w:tcPr>
            <w:tcW w:w="617" w:type="dxa"/>
            <w:tcBorders>
              <w:bottom w:val="single" w:sz="8" w:space="0" w:color="000000"/>
              <w:right w:val="single" w:sz="8" w:space="0" w:color="000000"/>
            </w:tcBorders>
          </w:tcPr>
          <w:p>
            <w:pPr>
              <w:pStyle w:val="Normal"/>
              <w:keepNext w:val="true"/>
              <w:spacing w:before="240" w:after="240"/>
              <w:jc w:val="center"/>
              <w:rPr>
                <w:rFonts w:ascii="Arial" w:hAnsi="Arial" w:eastAsia="Arial" w:cs="Arial"/>
              </w:rPr>
            </w:pPr>
            <w:r>
              <w:rPr>
                <w:rFonts w:eastAsia="Arial" w:cs="Arial" w:ascii="Arial" w:hAnsi="Arial"/>
                <w:sz w:val="20"/>
                <w:szCs w:val="20"/>
              </w:rPr>
              <w:t xml:space="preserve">X </w:t>
            </w:r>
          </w:p>
        </w:tc>
      </w:tr>
    </w:tbl>
    <w:p>
      <w:pPr>
        <w:pStyle w:val="Normal"/>
        <w:tabs>
          <w:tab w:val="clear" w:pos="720"/>
          <w:tab w:val="left" w:pos="0" w:leader="none"/>
        </w:tabs>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13.</w:t>
        <w:tab/>
        <w:t>RESPONSABILIDADE PELA SUPERVISÃO DA CONSULTORIA</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Os trabalhos serão executados pelo/a Consultor/a sob a supervisão da CGOD/CGTI/DA/SE.</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Quaisquer visitas, reuniões ou entrevistas junto às unidades organizacionais com o processo de trabalho deverão ser previamente agendadas e comunicadas à CGOD/CGTI/DA/SE</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A Unidade Demandante deste Termo de Referência será responsável pelo direcionamento de esforços para que, de forma integrada e complementar, os produtos da consultoria sejam plenamente alcançados. A indicação da contraparte técnica para o acompanhamento da prestação de serviços será fundamental para apropriação dos conhecimentos gerados por quadros técnicos da Secretaria Executiva do MAPA.</w:t>
      </w:r>
    </w:p>
    <w:p>
      <w:pPr>
        <w:pStyle w:val="Normal"/>
        <w:ind w:firstLine="851"/>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14.</w:t>
        <w:tab/>
        <w:t>INSUMOS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Despesas decorrentes de deslocamentos, previstas na estratégia de execução deste Termo de Referência e necessárias para a correta execução dos serviços propostos neste Termo de Referência, entendidas como passagens aéreas e terrestres, e mais diárias de alimentação e hospedagem decorrentes desses deslocamentos, serão pagas ou ressarcidas pelo Projeto de Cooperação Técnica, com a prévia autorização do Diretor Nacional do PCT BRA/IICA/16/001, a partir de um parecer do supervisor designado pelo Projeto. </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Deslocamentos adicionais deverão ser objeto de avaliação prévia da Direção Nacional do PCT.</w:t>
      </w:r>
    </w:p>
    <w:p>
      <w:pPr>
        <w:pStyle w:val="Normal"/>
        <w:ind w:left="142" w:hanging="0"/>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15.</w:t>
        <w:tab/>
        <w:t>FONTE DE RECURSOS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Os recursos para pagamento do Contrato de Prestação de Serviços regulamentado por este Termo de Referência são oriundos do MAPA, alocados ao Projeto de Cooperação Técnica BRA/IICA/16/001 “Modernização da gestão estratégica do MAPA para aperfeiçoar as políticas públicas de promoção do desenvolvimento sustentável, segurança alimentar e competitividade do agronegócio”. </w:t>
      </w:r>
    </w:p>
    <w:p>
      <w:pPr>
        <w:pStyle w:val="Normal"/>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16.</w:t>
      </w:r>
      <w:r>
        <w:rPr/>
        <w:t xml:space="preserve">     </w:t>
      </w:r>
      <w:r>
        <w:rPr>
          <w:rFonts w:eastAsia="Arial" w:cs="Arial" w:ascii="Arial" w:hAnsi="Arial"/>
          <w:b/>
        </w:rPr>
        <w:tab/>
        <w:t>DIVULGAÇÃO</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Este Termo de Referência será divulgado no site do IICA e no Diário Oficial da União.</w:t>
      </w:r>
    </w:p>
    <w:p>
      <w:pPr>
        <w:pStyle w:val="Normal"/>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17.</w:t>
        <w:tab/>
        <w:t>INSCRIÇÃO DE CANDIDATOS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Os candidatos interessados, caso ainda não tenham cadastro como consultores do IICA, devem cadastrar-se em </w:t>
      </w:r>
      <w:hyperlink r:id="rId3">
        <w:r>
          <w:rPr>
            <w:rFonts w:eastAsia="Arial" w:cs="Arial" w:ascii="Arial" w:hAnsi="Arial"/>
            <w:color w:val="0070C0"/>
          </w:rPr>
          <w:t>https://www.iica.org.br/pt/node/75</w:t>
        </w:r>
      </w:hyperlink>
      <w:r>
        <w:rPr>
          <w:rFonts w:eastAsia="Arial" w:cs="Arial" w:ascii="Arial" w:hAnsi="Arial"/>
        </w:rPr>
        <w:t>, em “Editais – Pessoa Física”, selecionando esta vaga desejada (TR - Termo de Referência) e preenchendo os dados de currículo. Caso já sejam cadastrados, basta “logar-se” no sistema do IICA e optar por enviar o currículo para concorrer à seleção dos serviços técnicos preconizados neste TR. Não serão recebidos currículos por outros meios.</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*Em nenhuma hipótese a equipe de Integrantes de Gerenciamento do PCT/EEN - Entidade Executora Nacional   tem autorização para realizar contato com possíveis candidatos. Todas as informações sobre a candidatura e detalhamento dos serviços a serem prestados devem constar nos documentos apresentados no site do IICA. </w:t>
      </w:r>
    </w:p>
    <w:p>
      <w:pPr>
        <w:pStyle w:val="Normal"/>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18.</w:t>
        <w:tab/>
        <w:t>VALOR, FORMA DE PAGAMENTO E APROVAÇÃO DOS PRODUTOS</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O custo total da consultoria é de </w:t>
      </w:r>
      <w:bookmarkStart w:id="6" w:name="bookmark=id.2et92p0"/>
      <w:bookmarkEnd w:id="6"/>
      <w:r>
        <w:rPr>
          <w:rFonts w:eastAsia="Arial" w:cs="Arial" w:ascii="Arial" w:hAnsi="Arial"/>
        </w:rPr>
        <w:t>R$ 180.000,00 (</w:t>
      </w:r>
      <w:bookmarkStart w:id="7" w:name="bookmark=id.tyjcwt"/>
      <w:bookmarkEnd w:id="7"/>
      <w:r>
        <w:rPr>
          <w:rFonts w:eastAsia="Arial" w:cs="Arial" w:ascii="Arial" w:hAnsi="Arial"/>
        </w:rPr>
        <w:t>cento e oitenta mil reais), destinados ao pagamento de honorários, cumpridas as obrigações contratuais.</w:t>
      </w:r>
    </w:p>
    <w:p>
      <w:pPr>
        <w:pStyle w:val="Normal"/>
        <w:pBdr/>
        <w:ind w:firstLine="447"/>
        <w:jc w:val="both"/>
        <w:rPr>
          <w:rFonts w:ascii="Arial" w:hAnsi="Arial" w:eastAsia="Arial" w:cs="Arial"/>
        </w:rPr>
      </w:pPr>
      <w:r>
        <w:rPr>
          <w:rFonts w:eastAsia="Arial" w:cs="Arial" w:ascii="Arial" w:hAnsi="Arial"/>
        </w:rPr>
        <w:t>Os honorários do consultor serão pagos mediante a apresentação e aprovação pela Unidade Demandante e pelo IICA dos produtos abaixo, obedecido o cronograma de execução proposto no item 11 deste TR nos seguintes valores:</w:t>
      </w:r>
    </w:p>
    <w:p>
      <w:pPr>
        <w:pStyle w:val="Normal"/>
        <w:rPr>
          <w:rFonts w:ascii="Arial" w:hAnsi="Arial" w:eastAsia="Arial" w:cs="Arial"/>
        </w:rPr>
      </w:pPr>
      <w:r>
        <w:rPr>
          <w:rFonts w:eastAsia="Arial" w:cs="Arial" w:ascii="Arial" w:hAnsi="Arial"/>
        </w:rPr>
      </w:r>
    </w:p>
    <w:tbl>
      <w:tblPr>
        <w:tblStyle w:val="afff3"/>
        <w:tblW w:w="8542" w:type="dxa"/>
        <w:jc w:val="center"/>
        <w:tblInd w:w="0" w:type="dxa"/>
        <w:tblCellMar>
          <w:top w:w="0" w:type="dxa"/>
          <w:left w:w="108" w:type="dxa"/>
          <w:bottom w:w="0" w:type="dxa"/>
          <w:right w:w="108" w:type="dxa"/>
        </w:tblCellMar>
        <w:tblLook w:firstRow="0" w:noVBand="0" w:lastRow="0" w:firstColumn="0" w:lastColumn="0" w:noHBand="0" w:val="0000"/>
      </w:tblPr>
      <w:tblGrid>
        <w:gridCol w:w="3270"/>
        <w:gridCol w:w="2635"/>
        <w:gridCol w:w="2637"/>
      </w:tblGrid>
      <w:tr>
        <w:trPr>
          <w:trHeight w:val="315" w:hRule="atLeast"/>
        </w:trPr>
        <w:tc>
          <w:tcPr>
            <w:tcW w:w="3270" w:type="dxa"/>
            <w:tcBorders>
              <w:top w:val="single" w:sz="8" w:space="0" w:color="000000"/>
              <w:left w:val="single" w:sz="8" w:space="0" w:color="000000"/>
              <w:bottom w:val="single" w:sz="8" w:space="0" w:color="000000"/>
              <w:right w:val="single" w:sz="8" w:space="0" w:color="000000"/>
            </w:tcBorders>
            <w:shd w:color="auto" w:fill="D9D9D9" w:val="clear"/>
            <w:vAlign w:val="center"/>
          </w:tcPr>
          <w:p>
            <w:pPr>
              <w:pStyle w:val="Normal"/>
              <w:jc w:val="center"/>
              <w:rPr>
                <w:rFonts w:ascii="Arial" w:hAnsi="Arial" w:eastAsia="Arial" w:cs="Arial"/>
                <w:b/>
                <w:b/>
                <w:color w:val="0070C0"/>
              </w:rPr>
            </w:pPr>
            <w:r>
              <w:rPr>
                <w:rFonts w:eastAsia="Arial" w:cs="Arial" w:ascii="Arial" w:hAnsi="Arial"/>
                <w:b/>
              </w:rPr>
              <w:t>Produtos</w:t>
            </w:r>
          </w:p>
        </w:tc>
        <w:tc>
          <w:tcPr>
            <w:tcW w:w="2635" w:type="dxa"/>
            <w:tcBorders>
              <w:top w:val="single" w:sz="8" w:space="0" w:color="000000"/>
              <w:left w:val="single" w:sz="8" w:space="0" w:color="000000"/>
              <w:bottom w:val="single" w:sz="8" w:space="0" w:color="000000"/>
              <w:right w:val="single" w:sz="8" w:space="0" w:color="000000"/>
            </w:tcBorders>
            <w:shd w:color="auto" w:fill="D9D9D9" w:val="clear"/>
          </w:tcPr>
          <w:p>
            <w:pPr>
              <w:pStyle w:val="Normal"/>
              <w:ind w:hanging="50"/>
              <w:jc w:val="center"/>
              <w:rPr>
                <w:rFonts w:ascii="Arial" w:hAnsi="Arial" w:eastAsia="Arial" w:cs="Arial"/>
                <w:b/>
                <w:b/>
                <w:color w:val="0070C0"/>
              </w:rPr>
            </w:pPr>
            <w:r>
              <w:rPr>
                <w:rFonts w:eastAsia="Arial" w:cs="Arial" w:ascii="Arial" w:hAnsi="Arial"/>
                <w:b/>
              </w:rPr>
              <w:t>Valor (R$)</w:t>
            </w:r>
          </w:p>
        </w:tc>
        <w:tc>
          <w:tcPr>
            <w:tcW w:w="2637" w:type="dxa"/>
            <w:tcBorders>
              <w:top w:val="single" w:sz="8" w:space="0" w:color="000000"/>
              <w:left w:val="single" w:sz="8" w:space="0" w:color="000000"/>
              <w:bottom w:val="single" w:sz="8" w:space="0" w:color="000000"/>
              <w:right w:val="single" w:sz="8" w:space="0" w:color="000000"/>
            </w:tcBorders>
            <w:shd w:color="auto" w:fill="D9D9D9" w:val="clear"/>
          </w:tcPr>
          <w:p>
            <w:pPr>
              <w:pStyle w:val="Normal"/>
              <w:jc w:val="center"/>
              <w:rPr>
                <w:rFonts w:ascii="Arial" w:hAnsi="Arial" w:eastAsia="Arial" w:cs="Arial"/>
                <w:b/>
                <w:b/>
                <w:color w:val="0070C0"/>
              </w:rPr>
            </w:pPr>
            <w:r>
              <w:rPr>
                <w:rFonts w:eastAsia="Arial" w:cs="Arial" w:ascii="Arial" w:hAnsi="Arial"/>
                <w:b/>
              </w:rPr>
              <w:t>%</w:t>
            </w:r>
          </w:p>
        </w:tc>
      </w:tr>
      <w:tr>
        <w:trPr>
          <w:trHeight w:val="300" w:hRule="atLeast"/>
        </w:trPr>
        <w:tc>
          <w:tcPr>
            <w:tcW w:w="3270"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Produto 1</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25.200,00</w:t>
            </w:r>
          </w:p>
        </w:tc>
        <w:tc>
          <w:tcPr>
            <w:tcW w:w="2637"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14,0</w:t>
            </w:r>
          </w:p>
        </w:tc>
      </w:tr>
      <w:tr>
        <w:trPr>
          <w:trHeight w:val="270" w:hRule="atLeast"/>
        </w:trPr>
        <w:tc>
          <w:tcPr>
            <w:tcW w:w="3270"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Produto 2</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41.400,00</w:t>
            </w:r>
          </w:p>
        </w:tc>
        <w:tc>
          <w:tcPr>
            <w:tcW w:w="2637"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23,0</w:t>
            </w:r>
          </w:p>
        </w:tc>
      </w:tr>
      <w:tr>
        <w:trPr>
          <w:trHeight w:val="270" w:hRule="atLeast"/>
        </w:trPr>
        <w:tc>
          <w:tcPr>
            <w:tcW w:w="3270"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Produto 3</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28.800,00</w:t>
            </w:r>
          </w:p>
        </w:tc>
        <w:tc>
          <w:tcPr>
            <w:tcW w:w="2637"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16,0</w:t>
            </w:r>
          </w:p>
        </w:tc>
      </w:tr>
      <w:tr>
        <w:trPr>
          <w:trHeight w:val="270" w:hRule="atLeast"/>
        </w:trPr>
        <w:tc>
          <w:tcPr>
            <w:tcW w:w="3270"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Produto 4</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27.900,00</w:t>
            </w:r>
          </w:p>
        </w:tc>
        <w:tc>
          <w:tcPr>
            <w:tcW w:w="2637" w:type="dxa"/>
            <w:tcBorders>
              <w:top w:val="single" w:sz="8" w:space="0" w:color="000000"/>
              <w:left w:val="single" w:sz="8" w:space="0" w:color="000000"/>
              <w:bottom w:val="single" w:sz="8" w:space="0" w:color="000000"/>
              <w:right w:val="single" w:sz="8" w:space="0" w:color="000000"/>
            </w:tcBorders>
          </w:tcPr>
          <w:p>
            <w:pPr>
              <w:pStyle w:val="Normal"/>
              <w:tabs>
                <w:tab w:val="clear" w:pos="720"/>
                <w:tab w:val="left" w:pos="960" w:leader="none"/>
                <w:tab w:val="center" w:pos="1210" w:leader="none"/>
              </w:tabs>
              <w:rPr>
                <w:rFonts w:ascii="Arial" w:hAnsi="Arial" w:eastAsia="Arial" w:cs="Arial"/>
                <w:color w:val="0070C0"/>
              </w:rPr>
            </w:pPr>
            <w:r>
              <w:rPr>
                <w:rFonts w:eastAsia="Arial" w:cs="Arial" w:ascii="Arial" w:hAnsi="Arial"/>
                <w:color w:val="0070C0"/>
              </w:rPr>
              <w:tab/>
            </w:r>
            <w:r>
              <w:rPr>
                <w:rFonts w:eastAsia="Arial" w:cs="Arial" w:ascii="Arial" w:hAnsi="Arial"/>
              </w:rPr>
              <w:t>15,5</w:t>
            </w:r>
          </w:p>
        </w:tc>
      </w:tr>
      <w:tr>
        <w:trPr>
          <w:trHeight w:val="270" w:hRule="atLeast"/>
        </w:trPr>
        <w:tc>
          <w:tcPr>
            <w:tcW w:w="3270"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Produto 5</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56.700,00</w:t>
            </w:r>
          </w:p>
        </w:tc>
        <w:tc>
          <w:tcPr>
            <w:tcW w:w="2637"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color w:val="0070C0"/>
              </w:rPr>
            </w:pPr>
            <w:r>
              <w:rPr>
                <w:rFonts w:eastAsia="Arial" w:cs="Arial" w:ascii="Arial" w:hAnsi="Arial"/>
              </w:rPr>
              <w:t>31,5</w:t>
            </w:r>
          </w:p>
        </w:tc>
      </w:tr>
      <w:tr>
        <w:trPr>
          <w:trHeight w:val="254" w:hRule="atLeast"/>
        </w:trPr>
        <w:tc>
          <w:tcPr>
            <w:tcW w:w="3270" w:type="dxa"/>
            <w:tcBorders>
              <w:top w:val="single" w:sz="8" w:space="0" w:color="000000"/>
              <w:left w:val="single" w:sz="8" w:space="0" w:color="000000"/>
              <w:bottom w:val="single" w:sz="8" w:space="0" w:color="000000"/>
              <w:right w:val="single" w:sz="8" w:space="0" w:color="000000"/>
            </w:tcBorders>
            <w:vAlign w:val="bottom"/>
          </w:tcPr>
          <w:p>
            <w:pPr>
              <w:pStyle w:val="Normal"/>
              <w:jc w:val="center"/>
              <w:rPr>
                <w:rFonts w:ascii="Arial" w:hAnsi="Arial" w:eastAsia="Arial" w:cs="Arial"/>
                <w:b/>
                <w:b/>
                <w:color w:val="0070C0"/>
              </w:rPr>
            </w:pPr>
            <w:r>
              <w:rPr>
                <w:rFonts w:eastAsia="Arial" w:cs="Arial" w:ascii="Arial" w:hAnsi="Arial"/>
                <w:b/>
              </w:rPr>
              <w:t>TOTAL</w:t>
            </w:r>
          </w:p>
        </w:tc>
        <w:tc>
          <w:tcPr>
            <w:tcW w:w="2635"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b/>
                <w:b/>
                <w:color w:val="0070C0"/>
              </w:rPr>
            </w:pPr>
            <w:r>
              <w:rPr>
                <w:rFonts w:eastAsia="Arial" w:cs="Arial" w:ascii="Arial" w:hAnsi="Arial"/>
                <w:b/>
              </w:rPr>
              <w:t>180.000,00</w:t>
            </w:r>
          </w:p>
        </w:tc>
        <w:tc>
          <w:tcPr>
            <w:tcW w:w="2637" w:type="dxa"/>
            <w:tcBorders>
              <w:top w:val="single" w:sz="8" w:space="0" w:color="000000"/>
              <w:left w:val="single" w:sz="8" w:space="0" w:color="000000"/>
              <w:bottom w:val="single" w:sz="8" w:space="0" w:color="000000"/>
              <w:right w:val="single" w:sz="8" w:space="0" w:color="000000"/>
            </w:tcBorders>
          </w:tcPr>
          <w:p>
            <w:pPr>
              <w:pStyle w:val="Normal"/>
              <w:jc w:val="center"/>
              <w:rPr>
                <w:rFonts w:ascii="Arial" w:hAnsi="Arial" w:eastAsia="Arial" w:cs="Arial"/>
                <w:b/>
                <w:b/>
                <w:color w:val="0070C0"/>
              </w:rPr>
            </w:pPr>
            <w:r>
              <w:rPr>
                <w:rFonts w:eastAsia="Arial" w:cs="Arial" w:ascii="Arial" w:hAnsi="Arial"/>
                <w:b/>
              </w:rPr>
              <w:t>100</w:t>
            </w:r>
          </w:p>
        </w:tc>
      </w:tr>
    </w:tbl>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19.</w:t>
        <w:tab/>
        <w:t>QUALIFICAÇÃO DOS PROFISSIONAIS</w:t>
      </w:r>
    </w:p>
    <w:p>
      <w:pPr>
        <w:pStyle w:val="Normal"/>
        <w:tabs>
          <w:tab w:val="clear" w:pos="720"/>
          <w:tab w:val="left" w:pos="0" w:leader="none"/>
        </w:tabs>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Os interessados na prestação dos serviços especializados decorrentes do presente Termo de Referência deverão preencher os seguintes requisitos técnicos:</w:t>
      </w:r>
    </w:p>
    <w:p>
      <w:pPr>
        <w:pStyle w:val="Normal"/>
        <w:tabs>
          <w:tab w:val="clear" w:pos="720"/>
          <w:tab w:val="left" w:pos="0" w:leader="none"/>
        </w:tabs>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São </w:t>
      </w:r>
      <w:r>
        <w:rPr>
          <w:rFonts w:eastAsia="Arial" w:cs="Arial" w:ascii="Arial" w:hAnsi="Arial"/>
          <w:b/>
        </w:rPr>
        <w:t>Requisitos Obrigatórios</w:t>
      </w:r>
      <w:r>
        <w:rPr>
          <w:rFonts w:eastAsia="Arial" w:cs="Arial" w:ascii="Arial" w:hAnsi="Arial"/>
        </w:rPr>
        <w:t xml:space="preserve"> que o consultor disponha de: (Critérios Eliminatórios) </w:t>
      </w:r>
    </w:p>
    <w:p>
      <w:pPr>
        <w:pStyle w:val="Normal"/>
        <w:numPr>
          <w:ilvl w:val="0"/>
          <w:numId w:val="1"/>
        </w:numPr>
        <w:tabs>
          <w:tab w:val="clear" w:pos="720"/>
          <w:tab w:val="left" w:pos="5940" w:leader="none"/>
        </w:tabs>
        <w:spacing w:before="120" w:after="0"/>
        <w:ind w:left="720" w:right="60" w:hanging="360"/>
        <w:jc w:val="both"/>
        <w:rPr>
          <w:rFonts w:ascii="Arial" w:hAnsi="Arial" w:eastAsia="Arial" w:cs="Arial"/>
        </w:rPr>
      </w:pPr>
      <w:r>
        <w:rPr>
          <w:rFonts w:eastAsia="Arial" w:cs="Arial" w:ascii="Arial" w:hAnsi="Arial"/>
        </w:rPr>
        <w:t>Formação Acadêmica - Curso superior completo em uma das seguintes áreas; ciências da computação, análise e desenvolvimento de sistemas, informática ou áreas afins; e</w:t>
      </w:r>
    </w:p>
    <w:p>
      <w:pPr>
        <w:pStyle w:val="Normal"/>
        <w:pBdr/>
        <w:ind w:firstLine="447"/>
        <w:jc w:val="both"/>
        <w:rPr>
          <w:rFonts w:ascii="Arial" w:hAnsi="Arial" w:eastAsia="Arial" w:cs="Arial"/>
        </w:rPr>
      </w:pPr>
      <w:r>
        <w:rPr>
          <w:rFonts w:eastAsia="Arial" w:cs="Arial" w:ascii="Arial" w:hAnsi="Arial"/>
        </w:rPr>
      </w:r>
    </w:p>
    <w:p>
      <w:pPr>
        <w:pStyle w:val="Normal"/>
        <w:numPr>
          <w:ilvl w:val="0"/>
          <w:numId w:val="1"/>
        </w:numPr>
        <w:tabs>
          <w:tab w:val="clear" w:pos="720"/>
          <w:tab w:val="left" w:pos="5940" w:leader="none"/>
        </w:tabs>
        <w:ind w:left="720" w:right="60" w:hanging="360"/>
        <w:jc w:val="both"/>
        <w:rPr>
          <w:rFonts w:ascii="Arial" w:hAnsi="Arial" w:eastAsia="Arial" w:cs="Arial"/>
        </w:rPr>
      </w:pPr>
      <w:r>
        <w:rPr>
          <w:rFonts w:eastAsia="Arial" w:cs="Arial" w:ascii="Arial" w:hAnsi="Arial"/>
        </w:rPr>
        <w:t>Não ter vínculo empregatício com qualquer instituição pública direta ou indireta dos Governos Federal, Estadual ou Municipal, respeitadas as exceções constitucionais que tratam do assunto (caráter eliminatório); e</w:t>
      </w:r>
    </w:p>
    <w:p>
      <w:pPr>
        <w:pStyle w:val="Normal"/>
        <w:tabs>
          <w:tab w:val="clear" w:pos="720"/>
          <w:tab w:val="left" w:pos="0" w:leader="none"/>
        </w:tabs>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 xml:space="preserve">São </w:t>
      </w:r>
      <w:r>
        <w:rPr>
          <w:rFonts w:eastAsia="Arial" w:cs="Arial" w:ascii="Arial" w:hAnsi="Arial"/>
          <w:b/>
        </w:rPr>
        <w:t xml:space="preserve">Critérios Classificatórios </w:t>
      </w:r>
      <w:r>
        <w:rPr>
          <w:rFonts w:eastAsia="Arial" w:cs="Arial" w:ascii="Arial" w:hAnsi="Arial"/>
        </w:rPr>
        <w:t>que o consultor disponha de:</w:t>
      </w:r>
    </w:p>
    <w:p>
      <w:pPr>
        <w:pStyle w:val="Normal"/>
        <w:tabs>
          <w:tab w:val="clear" w:pos="720"/>
          <w:tab w:val="left" w:pos="0" w:leader="none"/>
        </w:tabs>
        <w:jc w:val="both"/>
        <w:rPr>
          <w:rFonts w:ascii="Arial" w:hAnsi="Arial" w:eastAsia="Arial" w:cs="Arial"/>
        </w:rPr>
      </w:pPr>
      <w:r>
        <w:rPr>
          <w:rFonts w:eastAsia="Arial" w:cs="Arial" w:ascii="Arial" w:hAnsi="Arial"/>
        </w:rPr>
      </w:r>
    </w:p>
    <w:p>
      <w:pPr>
        <w:pStyle w:val="Normal"/>
        <w:numPr>
          <w:ilvl w:val="0"/>
          <w:numId w:val="3"/>
        </w:numPr>
        <w:tabs>
          <w:tab w:val="clear" w:pos="720"/>
          <w:tab w:val="left" w:pos="5940" w:leader="none"/>
        </w:tabs>
        <w:spacing w:before="0" w:after="120"/>
        <w:ind w:left="720" w:right="60" w:hanging="360"/>
        <w:jc w:val="both"/>
        <w:rPr>
          <w:rFonts w:ascii="Arial" w:hAnsi="Arial" w:eastAsia="Arial" w:cs="Arial"/>
        </w:rPr>
      </w:pPr>
      <w:r>
        <w:rPr>
          <w:rFonts w:eastAsia="Arial" w:cs="Arial" w:ascii="Arial" w:hAnsi="Arial"/>
        </w:rPr>
        <w:t>Experiência comprovada em Planejamento de Contratação de produtos e serviços de TI para Administração Pública Federal;</w:t>
      </w:r>
    </w:p>
    <w:p>
      <w:pPr>
        <w:pStyle w:val="Normal"/>
        <w:numPr>
          <w:ilvl w:val="0"/>
          <w:numId w:val="3"/>
        </w:numPr>
        <w:tabs>
          <w:tab w:val="clear" w:pos="720"/>
          <w:tab w:val="left" w:pos="5940" w:leader="none"/>
        </w:tabs>
        <w:spacing w:before="120" w:after="120"/>
        <w:ind w:left="720" w:right="60" w:hanging="360"/>
        <w:jc w:val="both"/>
        <w:rPr>
          <w:rFonts w:ascii="Arial" w:hAnsi="Arial" w:eastAsia="Arial" w:cs="Arial"/>
        </w:rPr>
      </w:pPr>
      <w:r>
        <w:rPr>
          <w:rFonts w:eastAsia="Arial" w:cs="Arial" w:ascii="Arial" w:hAnsi="Arial"/>
        </w:rPr>
        <w:t>Experiência comprovada em atividades relacionadas à tecnologia da informação;</w:t>
      </w:r>
    </w:p>
    <w:p>
      <w:pPr>
        <w:pStyle w:val="Normal"/>
        <w:numPr>
          <w:ilvl w:val="0"/>
          <w:numId w:val="3"/>
        </w:numPr>
        <w:spacing w:before="240" w:after="240"/>
        <w:jc w:val="both"/>
        <w:rPr>
          <w:rFonts w:ascii="Arial" w:hAnsi="Arial" w:eastAsia="Arial" w:cs="Arial"/>
        </w:rPr>
      </w:pPr>
      <w:r>
        <w:rPr>
          <w:rFonts w:eastAsia="Arial" w:cs="Arial" w:ascii="Arial" w:hAnsi="Arial"/>
        </w:rPr>
        <w:t xml:space="preserve">Experiência comprovada em atividades relacionadas a administração de bases de dados; </w:t>
      </w:r>
    </w:p>
    <w:p>
      <w:pPr>
        <w:pStyle w:val="Normal"/>
        <w:numPr>
          <w:ilvl w:val="0"/>
          <w:numId w:val="3"/>
        </w:numPr>
        <w:tabs>
          <w:tab w:val="clear" w:pos="720"/>
          <w:tab w:val="left" w:pos="5940" w:leader="none"/>
        </w:tabs>
        <w:spacing w:before="120" w:after="120"/>
        <w:ind w:left="720" w:right="60" w:hanging="360"/>
        <w:jc w:val="both"/>
        <w:rPr>
          <w:rFonts w:ascii="Arial" w:hAnsi="Arial" w:eastAsia="Arial" w:cs="Arial"/>
        </w:rPr>
      </w:pPr>
      <w:r>
        <w:rPr>
          <w:rFonts w:eastAsia="Arial" w:cs="Arial" w:ascii="Arial" w:hAnsi="Arial"/>
        </w:rPr>
        <w:t xml:space="preserve">Experiência comprovada em atividades de análise de dados espaciais. </w:t>
      </w:r>
    </w:p>
    <w:p>
      <w:pPr>
        <w:pStyle w:val="Normal"/>
        <w:tabs>
          <w:tab w:val="clear" w:pos="720"/>
          <w:tab w:val="left" w:pos="5940" w:leader="none"/>
        </w:tabs>
        <w:spacing w:before="120" w:after="120"/>
        <w:ind w:left="720" w:right="60" w:hanging="0"/>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20.</w:t>
        <w:tab/>
        <w:t>PROCEDIMENTOS DE SELEÇÃO</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 processo adotado para a seleção da consultoria é o de análise curricular e entrevista. A comprovação documental das informações curriculares é parte integrante do processo.</w:t>
      </w:r>
    </w:p>
    <w:p>
      <w:pPr>
        <w:pStyle w:val="Normal"/>
        <w:pBdr/>
        <w:ind w:firstLine="447"/>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 perfil requerido e a capacidade do especialista serão aferidos com base no currículo acadêmico apresentado e na experiência profissional. As qualificações profissionais exigidas têm caráter eliminatório e haverá pontuação classificatória para seleção.</w:t>
      </w:r>
    </w:p>
    <w:p>
      <w:pPr>
        <w:pStyle w:val="Normal"/>
        <w:spacing w:before="240" w:after="0"/>
        <w:jc w:val="both"/>
        <w:rPr>
          <w:rFonts w:ascii="Arial" w:hAnsi="Arial" w:eastAsia="Arial" w:cs="Arial"/>
        </w:rPr>
      </w:pPr>
      <w:r>
        <w:rPr>
          <w:rFonts w:eastAsia="Arial" w:cs="Arial" w:ascii="Arial" w:hAnsi="Arial"/>
        </w:rPr>
        <w:t>A Seleção ocorrerá em três fases:</w:t>
      </w:r>
    </w:p>
    <w:p>
      <w:pPr>
        <w:pStyle w:val="Normal"/>
        <w:numPr>
          <w:ilvl w:val="0"/>
          <w:numId w:val="8"/>
        </w:numPr>
        <w:tabs>
          <w:tab w:val="clear" w:pos="720"/>
          <w:tab w:val="left" w:pos="900" w:leader="none"/>
        </w:tabs>
        <w:ind w:left="851" w:hanging="425"/>
        <w:jc w:val="both"/>
        <w:rPr>
          <w:rFonts w:ascii="Arial" w:hAnsi="Arial" w:eastAsia="Arial" w:cs="Arial"/>
        </w:rPr>
      </w:pPr>
      <w:r>
        <w:rPr>
          <w:rFonts w:eastAsia="Arial" w:cs="Arial" w:ascii="Arial" w:hAnsi="Arial"/>
          <w:u w:val="single"/>
        </w:rPr>
        <w:t>Fase 1:</w:t>
      </w:r>
      <w:r>
        <w:rPr>
          <w:rFonts w:eastAsia="Arial" w:cs="Arial" w:ascii="Arial" w:hAnsi="Arial"/>
        </w:rPr>
        <w:t xml:space="preserve"> De caráter eliminatório e classificatório, consiste em avaliação curricular realizada pela Comissão de Seleção, com base nos requisitos exigidos na qualificação da consultoria estabelecida no item</w:t>
      </w:r>
      <w:r>
        <w:rPr/>
        <w:t xml:space="preserve"> </w:t>
      </w:r>
      <w:r>
        <w:rPr>
          <w:rFonts w:eastAsia="Arial" w:cs="Arial" w:ascii="Arial" w:hAnsi="Arial"/>
        </w:rPr>
        <w:t>19 (dezenove) deste Termo de Referência, com peso de 80% sobre a pontuação total;</w:t>
      </w:r>
    </w:p>
    <w:p>
      <w:pPr>
        <w:pStyle w:val="Normal"/>
        <w:numPr>
          <w:ilvl w:val="0"/>
          <w:numId w:val="8"/>
        </w:numPr>
        <w:tabs>
          <w:tab w:val="clear" w:pos="720"/>
          <w:tab w:val="left" w:pos="900" w:leader="none"/>
        </w:tabs>
        <w:spacing w:before="240" w:after="120"/>
        <w:ind w:left="851" w:hanging="425"/>
        <w:jc w:val="both"/>
        <w:rPr>
          <w:rFonts w:ascii="Arial" w:hAnsi="Arial" w:eastAsia="Arial" w:cs="Arial"/>
        </w:rPr>
      </w:pPr>
      <w:r>
        <w:rPr>
          <w:rFonts w:eastAsia="Arial" w:cs="Arial" w:ascii="Arial" w:hAnsi="Arial"/>
          <w:u w:val="single"/>
        </w:rPr>
        <w:t>Fase 2:</w:t>
      </w:r>
      <w:r>
        <w:rPr>
          <w:rFonts w:eastAsia="Arial" w:cs="Arial" w:ascii="Arial" w:hAnsi="Arial"/>
        </w:rPr>
        <w:t xml:space="preserve"> De caráter classificatório, consiste em entrevista a ser realizada pela comissão de seleção, com a participação da unidade demandante, com peso de 20% sobre a pontuação total;</w:t>
      </w:r>
    </w:p>
    <w:p>
      <w:pPr>
        <w:pStyle w:val="Normal"/>
        <w:numPr>
          <w:ilvl w:val="0"/>
          <w:numId w:val="8"/>
        </w:numPr>
        <w:tabs>
          <w:tab w:val="clear" w:pos="720"/>
          <w:tab w:val="left" w:pos="900" w:leader="none"/>
        </w:tabs>
        <w:spacing w:before="240" w:after="120"/>
        <w:ind w:left="851" w:hanging="425"/>
        <w:jc w:val="both"/>
        <w:rPr>
          <w:rFonts w:ascii="Arial" w:hAnsi="Arial" w:eastAsia="Arial" w:cs="Arial"/>
        </w:rPr>
      </w:pPr>
      <w:r>
        <w:rPr>
          <w:rFonts w:eastAsia="Arial" w:cs="Arial" w:ascii="Arial" w:hAnsi="Arial"/>
          <w:u w:val="single"/>
        </w:rPr>
        <w:t>Fase 3:</w:t>
      </w:r>
      <w:r>
        <w:rPr>
          <w:rFonts w:eastAsia="Arial" w:cs="Arial" w:ascii="Arial" w:hAnsi="Arial"/>
        </w:rPr>
        <w:t xml:space="preserve"> De caráter eliminatório e classificatório, consiste na comprovação pelo candidato das informações constantes no </w:t>
      </w:r>
      <w:r>
        <w:rPr>
          <w:rFonts w:eastAsia="Arial" w:cs="Arial" w:ascii="Arial" w:hAnsi="Arial"/>
          <w:i/>
        </w:rPr>
        <w:t>curriculum vitae</w:t>
      </w:r>
      <w:r>
        <w:rPr>
          <w:rFonts w:eastAsia="Arial" w:cs="Arial" w:ascii="Arial" w:hAnsi="Arial"/>
        </w:rPr>
        <w:t xml:space="preserve"> apresentado por ele. Importante destacar que a não comprovação da veracidade das informações constantes do </w:t>
      </w:r>
      <w:r>
        <w:rPr>
          <w:rFonts w:eastAsia="Arial" w:cs="Arial" w:ascii="Arial" w:hAnsi="Arial"/>
          <w:i/>
        </w:rPr>
        <w:t>curriculum vitae</w:t>
      </w:r>
      <w:r>
        <w:rPr>
          <w:rFonts w:eastAsia="Arial" w:cs="Arial" w:ascii="Arial" w:hAnsi="Arial"/>
        </w:rPr>
        <w:t xml:space="preserve"> apresentado pelo candidato elimina-o do certame.</w:t>
      </w:r>
    </w:p>
    <w:p>
      <w:pPr>
        <w:pStyle w:val="Normal"/>
        <w:pBdr/>
        <w:ind w:firstLine="447"/>
        <w:jc w:val="both"/>
        <w:rPr>
          <w:rFonts w:ascii="Arial" w:hAnsi="Arial" w:eastAsia="Arial" w:cs="Arial"/>
        </w:rPr>
      </w:pPr>
      <w:r>
        <w:rPr>
          <w:rFonts w:eastAsia="Arial" w:cs="Arial" w:ascii="Arial" w:hAnsi="Arial"/>
        </w:rPr>
        <w:t>Serão admitidas apenas as informações curriculares disponíveis no site do IICA, cujos quesitos estão descritos no item 19 (dezenove) deste TR. Na entrevista, buscar-se-á avaliar a compatibilidade das experiências acadêmicas, profissionais e pessoais:</w:t>
      </w:r>
    </w:p>
    <w:p>
      <w:pPr>
        <w:pStyle w:val="Normal"/>
        <w:numPr>
          <w:ilvl w:val="0"/>
          <w:numId w:val="4"/>
        </w:numPr>
        <w:spacing w:before="240" w:after="120"/>
        <w:jc w:val="both"/>
        <w:rPr>
          <w:rFonts w:ascii="Arial" w:hAnsi="Arial" w:eastAsia="Arial" w:cs="Arial"/>
        </w:rPr>
      </w:pPr>
      <w:r>
        <w:rPr>
          <w:rFonts w:eastAsia="Arial" w:cs="Arial" w:ascii="Arial" w:hAnsi="Arial"/>
        </w:rPr>
        <w:t xml:space="preserve">à natureza participativa da ação a ser desenvolvida; </w:t>
      </w:r>
    </w:p>
    <w:p>
      <w:pPr>
        <w:pStyle w:val="Normal"/>
        <w:numPr>
          <w:ilvl w:val="0"/>
          <w:numId w:val="4"/>
        </w:numPr>
        <w:spacing w:before="240" w:after="120"/>
        <w:jc w:val="both"/>
        <w:rPr>
          <w:rFonts w:ascii="Arial" w:hAnsi="Arial" w:eastAsia="Arial" w:cs="Arial"/>
        </w:rPr>
      </w:pPr>
      <w:r>
        <w:rPr>
          <w:rFonts w:eastAsia="Arial" w:cs="Arial" w:ascii="Arial" w:hAnsi="Arial"/>
        </w:rPr>
        <w:t>às características da estratégia e da metodologia propostas para a obtenção dos resultados (produtos);</w:t>
      </w:r>
    </w:p>
    <w:p>
      <w:pPr>
        <w:pStyle w:val="Normal"/>
        <w:numPr>
          <w:ilvl w:val="0"/>
          <w:numId w:val="4"/>
        </w:numPr>
        <w:spacing w:before="240" w:after="120"/>
        <w:jc w:val="both"/>
        <w:rPr>
          <w:rFonts w:ascii="Arial" w:hAnsi="Arial" w:eastAsia="Arial" w:cs="Arial"/>
        </w:rPr>
      </w:pPr>
      <w:r>
        <w:rPr>
          <w:rFonts w:eastAsia="Arial" w:cs="Arial" w:ascii="Arial" w:hAnsi="Arial"/>
        </w:rPr>
        <w:t xml:space="preserve">à cultura organizacional da Secretaria Executiva/MAPA; e </w:t>
      </w:r>
    </w:p>
    <w:p>
      <w:pPr>
        <w:pStyle w:val="Normal"/>
        <w:numPr>
          <w:ilvl w:val="0"/>
          <w:numId w:val="4"/>
        </w:numPr>
        <w:spacing w:before="240" w:after="120"/>
        <w:jc w:val="both"/>
        <w:rPr>
          <w:rFonts w:ascii="Arial" w:hAnsi="Arial" w:eastAsia="Arial" w:cs="Arial"/>
        </w:rPr>
      </w:pPr>
      <w:r>
        <w:rPr>
          <w:rFonts w:eastAsia="Arial" w:cs="Arial" w:ascii="Arial" w:hAnsi="Arial"/>
        </w:rPr>
        <w:t xml:space="preserve">ao vínculo da ação ao âmbito da cooperação técnica internacional e suas implicações. </w:t>
      </w:r>
    </w:p>
    <w:p>
      <w:pPr>
        <w:pStyle w:val="Normal"/>
        <w:pBdr/>
        <w:ind w:firstLine="447"/>
        <w:jc w:val="both"/>
        <w:rPr>
          <w:rFonts w:ascii="Arial" w:hAnsi="Arial" w:eastAsia="Arial" w:cs="Arial"/>
        </w:rPr>
      </w:pPr>
      <w:r>
        <w:rPr>
          <w:rFonts w:eastAsia="Arial" w:cs="Arial" w:ascii="Arial" w:hAnsi="Arial"/>
        </w:rPr>
        <w:t>Serão classificados os 5 (cinco) candidatos que obtiverem maior índice na pontuação de caráter classificatório na análise curricular e serão entrevistados apenas os 3 (três) candidatos que obtiverem maior índice na pontuação. Caso algum dos candidatos selecionados para entrevista desista de participar do processo, serão chamados os candidatos classificados para substituir o(s) candidato(s) desistente. A entrevista poderá ser realizada pessoalmente, por teleconferência ou videoconferência.</w:t>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21.</w:t>
        <w:tab/>
        <w:t>SELEÇÃO CLASSIFICATÓRIA</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Os candidatos a consultores que preencherem os requisitos eliminatórios serão avaliados segundo classificação em ordem crescente, de acordo com os quesitos extraídos da descrição do item 19 (Qualificação dos Profissionais). Esta é a aplicação da Fase 1, conforme especificada no item 20 (Procedimentos de Seleção) para a definição da pontuação dos currículos.</w:t>
      </w:r>
    </w:p>
    <w:p>
      <w:pPr>
        <w:pStyle w:val="Normal"/>
        <w:jc w:val="both"/>
        <w:rPr>
          <w:rFonts w:ascii="Arial" w:hAnsi="Arial" w:eastAsia="Arial" w:cs="Arial"/>
        </w:rPr>
      </w:pPr>
      <w:r>
        <w:rPr>
          <w:rFonts w:eastAsia="Arial" w:cs="Arial" w:ascii="Arial" w:hAnsi="Arial"/>
        </w:rPr>
      </w:r>
    </w:p>
    <w:tbl>
      <w:tblPr>
        <w:tblStyle w:val="afff4"/>
        <w:tblW w:w="8580" w:type="dxa"/>
        <w:jc w:val="left"/>
        <w:tblInd w:w="103" w:type="dxa"/>
        <w:tblCellMar>
          <w:top w:w="0" w:type="dxa"/>
          <w:left w:w="108" w:type="dxa"/>
          <w:bottom w:w="0" w:type="dxa"/>
          <w:right w:w="108" w:type="dxa"/>
        </w:tblCellMar>
        <w:tblLook w:firstRow="0" w:noVBand="0" w:lastRow="0" w:firstColumn="0" w:lastColumn="0" w:noHBand="0" w:val="0000"/>
      </w:tblPr>
      <w:tblGrid>
        <w:gridCol w:w="966"/>
        <w:gridCol w:w="3429"/>
        <w:gridCol w:w="4185"/>
      </w:tblGrid>
      <w:tr>
        <w:trPr>
          <w:trHeight w:val="270" w:hRule="atLeast"/>
        </w:trPr>
        <w:tc>
          <w:tcPr>
            <w:tcW w:w="966" w:type="dxa"/>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Normal"/>
              <w:jc w:val="both"/>
              <w:rPr>
                <w:rFonts w:ascii="Arial" w:hAnsi="Arial" w:eastAsia="Arial" w:cs="Arial"/>
                <w:b/>
                <w:b/>
              </w:rPr>
            </w:pPr>
            <w:r>
              <w:rPr>
                <w:rFonts w:eastAsia="Arial" w:cs="Arial" w:ascii="Arial" w:hAnsi="Arial"/>
                <w:b/>
              </w:rPr>
              <w:t>Item</w:t>
            </w:r>
          </w:p>
        </w:tc>
        <w:tc>
          <w:tcPr>
            <w:tcW w:w="3429" w:type="dxa"/>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Normal"/>
              <w:jc w:val="both"/>
              <w:rPr>
                <w:rFonts w:ascii="Arial" w:hAnsi="Arial" w:eastAsia="Arial" w:cs="Arial"/>
                <w:b/>
                <w:b/>
              </w:rPr>
            </w:pPr>
            <w:r>
              <w:rPr>
                <w:rFonts w:eastAsia="Arial" w:cs="Arial" w:ascii="Arial" w:hAnsi="Arial"/>
                <w:b/>
              </w:rPr>
              <w:t>DESCRIÇÃO</w:t>
            </w:r>
          </w:p>
        </w:tc>
        <w:tc>
          <w:tcPr>
            <w:tcW w:w="4185" w:type="dxa"/>
            <w:tcBorders>
              <w:top w:val="single" w:sz="4" w:space="0" w:color="000000"/>
              <w:left w:val="single" w:sz="4" w:space="0" w:color="000000"/>
              <w:bottom w:val="single" w:sz="4" w:space="0" w:color="000000"/>
              <w:right w:val="single" w:sz="4" w:space="0" w:color="000000"/>
            </w:tcBorders>
            <w:shd w:color="auto" w:fill="C0C0C0" w:val="clear"/>
            <w:vAlign w:val="center"/>
          </w:tcPr>
          <w:p>
            <w:pPr>
              <w:pStyle w:val="Normal"/>
              <w:jc w:val="both"/>
              <w:rPr>
                <w:rFonts w:ascii="Arial" w:hAnsi="Arial" w:eastAsia="Arial" w:cs="Arial"/>
                <w:b/>
                <w:b/>
              </w:rPr>
            </w:pPr>
            <w:r>
              <w:rPr>
                <w:rFonts w:eastAsia="Arial" w:cs="Arial" w:ascii="Arial" w:hAnsi="Arial"/>
                <w:b/>
              </w:rPr>
              <w:t>Pontos por Subfator</w:t>
            </w:r>
          </w:p>
        </w:tc>
      </w:tr>
      <w:tr>
        <w:trPr>
          <w:trHeight w:val="285" w:hRule="atLeast"/>
        </w:trPr>
        <w:tc>
          <w:tcPr>
            <w:tcW w:w="9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jc w:val="center"/>
              <w:rPr>
                <w:rFonts w:ascii="Arial" w:hAnsi="Arial" w:eastAsia="Arial" w:cs="Arial"/>
                <w:b/>
                <w:b/>
              </w:rPr>
            </w:pPr>
            <w:r>
              <w:rPr>
                <w:rFonts w:eastAsia="Arial" w:cs="Arial" w:ascii="Arial" w:hAnsi="Arial"/>
                <w:b/>
              </w:rPr>
              <w:t>a</w:t>
            </w:r>
          </w:p>
        </w:tc>
        <w:tc>
          <w:tcPr>
            <w:tcW w:w="3429" w:type="dxa"/>
            <w:tcBorders>
              <w:top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jc w:val="both"/>
              <w:rPr>
                <w:rFonts w:ascii="Arial" w:hAnsi="Arial" w:eastAsia="Arial" w:cs="Arial"/>
                <w:i/>
                <w:i/>
              </w:rPr>
            </w:pPr>
            <w:r>
              <w:rPr>
                <w:rFonts w:eastAsia="Arial" w:cs="Arial" w:ascii="Arial" w:hAnsi="Arial"/>
              </w:rPr>
              <w:t>Experiência comprovada em Planejamento de Contratação de produtos e serviços de TI para Administração Pública Federal.</w:t>
            </w:r>
          </w:p>
        </w:tc>
        <w:tc>
          <w:tcPr>
            <w:tcW w:w="4185" w:type="dxa"/>
            <w:tcBorders>
              <w:top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rPr>
                <w:rFonts w:ascii="Arial" w:hAnsi="Arial" w:eastAsia="Arial" w:cs="Arial"/>
                <w:b/>
                <w:b/>
              </w:rPr>
            </w:pPr>
            <w:r>
              <w:rPr>
                <w:rFonts w:eastAsia="Arial" w:cs="Arial" w:ascii="Arial" w:hAnsi="Arial"/>
                <w:b/>
              </w:rPr>
              <w:t>10 pontos (pontuação máxima)</w:t>
            </w:r>
          </w:p>
          <w:p>
            <w:pPr>
              <w:pStyle w:val="Normal"/>
              <w:spacing w:before="0" w:after="120"/>
              <w:ind w:right="60" w:hanging="0"/>
              <w:jc w:val="both"/>
              <w:rPr>
                <w:rFonts w:ascii="Arial" w:hAnsi="Arial" w:eastAsia="Arial" w:cs="Arial"/>
              </w:rPr>
            </w:pPr>
            <w:r>
              <w:rPr>
                <w:rFonts w:eastAsia="Arial" w:cs="Arial" w:ascii="Arial" w:hAnsi="Arial"/>
              </w:rPr>
            </w:r>
          </w:p>
          <w:p>
            <w:pPr>
              <w:pStyle w:val="Normal"/>
              <w:spacing w:before="0" w:after="120"/>
              <w:ind w:right="60" w:hanging="0"/>
              <w:jc w:val="both"/>
              <w:rPr>
                <w:rFonts w:ascii="Arial" w:hAnsi="Arial" w:eastAsia="Arial" w:cs="Arial"/>
              </w:rPr>
            </w:pPr>
            <w:r>
              <w:rPr>
                <w:rFonts w:eastAsia="Arial" w:cs="Arial" w:ascii="Arial" w:hAnsi="Arial"/>
              </w:rPr>
              <w:t>01 pontos por ano, até o máximo de 10 pontos</w:t>
            </w:r>
          </w:p>
        </w:tc>
      </w:tr>
      <w:tr>
        <w:trPr>
          <w:trHeight w:val="285" w:hRule="atLeast"/>
        </w:trPr>
        <w:tc>
          <w:tcPr>
            <w:tcW w:w="966" w:type="dxa"/>
            <w:tcBorders>
              <w:left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jc w:val="center"/>
              <w:rPr>
                <w:rFonts w:ascii="Arial" w:hAnsi="Arial" w:eastAsia="Arial" w:cs="Arial"/>
                <w:b/>
                <w:b/>
              </w:rPr>
            </w:pPr>
            <w:r>
              <w:rPr>
                <w:rFonts w:eastAsia="Arial" w:cs="Arial" w:ascii="Arial" w:hAnsi="Arial"/>
                <w:b/>
              </w:rPr>
              <w:t>b</w:t>
            </w:r>
          </w:p>
        </w:tc>
        <w:tc>
          <w:tcPr>
            <w:tcW w:w="3429"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jc w:val="both"/>
              <w:rPr>
                <w:rFonts w:ascii="Arial" w:hAnsi="Arial" w:eastAsia="Arial" w:cs="Arial"/>
                <w:i/>
                <w:i/>
              </w:rPr>
            </w:pPr>
            <w:r>
              <w:rPr>
                <w:rFonts w:eastAsia="Arial" w:cs="Arial" w:ascii="Arial" w:hAnsi="Arial"/>
              </w:rPr>
              <w:t>Experiência comprovada em atividades relacionadas a tecnologia da informação</w:t>
            </w:r>
            <w:r>
              <w:rPr>
                <w:rFonts w:eastAsia="Arial" w:cs="Arial" w:ascii="Arial" w:hAnsi="Arial"/>
                <w:i/>
              </w:rPr>
              <w:t>.</w:t>
            </w:r>
          </w:p>
        </w:tc>
        <w:tc>
          <w:tcPr>
            <w:tcW w:w="4185"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rPr>
                <w:rFonts w:ascii="Arial" w:hAnsi="Arial" w:eastAsia="Arial" w:cs="Arial"/>
                <w:b/>
                <w:b/>
              </w:rPr>
            </w:pPr>
            <w:r>
              <w:rPr>
                <w:rFonts w:eastAsia="Arial" w:cs="Arial" w:ascii="Arial" w:hAnsi="Arial"/>
                <w:b/>
              </w:rPr>
              <w:t>1</w:t>
            </w:r>
            <w:bookmarkStart w:id="8" w:name="_GoBack"/>
            <w:bookmarkEnd w:id="8"/>
            <w:r>
              <w:rPr>
                <w:rFonts w:eastAsia="Arial" w:cs="Arial" w:ascii="Arial" w:hAnsi="Arial"/>
                <w:b/>
              </w:rPr>
              <w:t>0 pontos (pontuação máxima)</w:t>
            </w:r>
          </w:p>
          <w:p>
            <w:pPr>
              <w:pStyle w:val="Normal"/>
              <w:spacing w:before="0" w:after="120"/>
              <w:ind w:right="60" w:hanging="0"/>
              <w:jc w:val="both"/>
              <w:rPr>
                <w:rFonts w:ascii="Arial" w:hAnsi="Arial" w:eastAsia="Arial" w:cs="Arial"/>
                <w:b/>
                <w:b/>
              </w:rPr>
            </w:pPr>
            <w:r>
              <w:rPr>
                <w:rFonts w:eastAsia="Arial" w:cs="Arial" w:ascii="Arial" w:hAnsi="Arial"/>
              </w:rPr>
              <w:t>01 pontos por ano, até o máximo de 10 pontos</w:t>
            </w:r>
          </w:p>
        </w:tc>
      </w:tr>
      <w:tr>
        <w:trPr>
          <w:trHeight w:val="285" w:hRule="atLeast"/>
        </w:trPr>
        <w:tc>
          <w:tcPr>
            <w:tcW w:w="966" w:type="dxa"/>
            <w:tcBorders>
              <w:left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jc w:val="center"/>
              <w:rPr>
                <w:rFonts w:ascii="Arial" w:hAnsi="Arial" w:eastAsia="Arial" w:cs="Arial"/>
                <w:b/>
                <w:b/>
              </w:rPr>
            </w:pPr>
            <w:r>
              <w:rPr>
                <w:rFonts w:eastAsia="Arial" w:cs="Arial" w:ascii="Arial" w:hAnsi="Arial"/>
                <w:b/>
              </w:rPr>
              <w:t>c</w:t>
            </w:r>
          </w:p>
        </w:tc>
        <w:tc>
          <w:tcPr>
            <w:tcW w:w="3429"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jc w:val="both"/>
              <w:rPr>
                <w:rFonts w:ascii="Arial" w:hAnsi="Arial" w:eastAsia="Arial" w:cs="Arial"/>
              </w:rPr>
            </w:pPr>
            <w:bookmarkStart w:id="9" w:name="_heading=h.1fob9te"/>
            <w:bookmarkEnd w:id="9"/>
            <w:r>
              <w:rPr>
                <w:rFonts w:eastAsia="Arial" w:cs="Arial" w:ascii="Arial" w:hAnsi="Arial"/>
              </w:rPr>
              <w:t>Experiência comprovada em atividades relacionadas a administração de bases de dados</w:t>
            </w:r>
            <w:r>
              <w:rPr>
                <w:rFonts w:eastAsia="Arial" w:cs="Arial" w:ascii="Arial" w:hAnsi="Arial"/>
                <w:i/>
              </w:rPr>
              <w:t>.</w:t>
            </w:r>
          </w:p>
        </w:tc>
        <w:tc>
          <w:tcPr>
            <w:tcW w:w="4185"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rPr>
                <w:rFonts w:ascii="Arial" w:hAnsi="Arial" w:eastAsia="Arial" w:cs="Arial"/>
                <w:b/>
                <w:b/>
              </w:rPr>
            </w:pPr>
            <w:r>
              <w:rPr>
                <w:rFonts w:eastAsia="Arial" w:cs="Arial" w:ascii="Arial" w:hAnsi="Arial"/>
                <w:b/>
              </w:rPr>
              <w:t>20 pontos (pontuação máxima)</w:t>
            </w:r>
          </w:p>
          <w:p>
            <w:pPr>
              <w:pStyle w:val="Normal"/>
              <w:spacing w:before="240" w:after="240"/>
              <w:rPr>
                <w:rFonts w:ascii="Arial" w:hAnsi="Arial" w:eastAsia="Arial" w:cs="Arial"/>
                <w:b/>
                <w:b/>
              </w:rPr>
            </w:pPr>
            <w:r>
              <w:rPr>
                <w:rFonts w:eastAsia="Arial" w:cs="Arial" w:ascii="Arial" w:hAnsi="Arial"/>
              </w:rPr>
              <w:t>02 pontos por ano, até o máximo de 20 pontos</w:t>
            </w:r>
          </w:p>
        </w:tc>
      </w:tr>
      <w:tr>
        <w:trPr>
          <w:trHeight w:val="285" w:hRule="atLeast"/>
        </w:trPr>
        <w:tc>
          <w:tcPr>
            <w:tcW w:w="966" w:type="dxa"/>
            <w:tcBorders>
              <w:left w:val="single" w:sz="8" w:space="0" w:color="000000"/>
              <w:bottom w:val="single" w:sz="8" w:space="0" w:color="000000"/>
              <w:right w:val="single" w:sz="8" w:space="0" w:color="000000"/>
            </w:tcBorders>
            <w:tcMar>
              <w:top w:w="100" w:type="dxa"/>
              <w:left w:w="100" w:type="dxa"/>
              <w:bottom w:w="100" w:type="dxa"/>
              <w:right w:w="100" w:type="dxa"/>
            </w:tcMar>
          </w:tcPr>
          <w:p>
            <w:pPr>
              <w:pStyle w:val="Normal"/>
              <w:spacing w:before="240" w:after="240"/>
              <w:jc w:val="center"/>
              <w:rPr>
                <w:rFonts w:ascii="Arial" w:hAnsi="Arial" w:eastAsia="Arial" w:cs="Arial"/>
                <w:b/>
                <w:b/>
              </w:rPr>
            </w:pPr>
            <w:r>
              <w:rPr>
                <w:rFonts w:eastAsia="Arial" w:cs="Arial" w:ascii="Arial" w:hAnsi="Arial"/>
                <w:b/>
              </w:rPr>
              <w:t>e</w:t>
            </w:r>
          </w:p>
        </w:tc>
        <w:tc>
          <w:tcPr>
            <w:tcW w:w="3429"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jc w:val="both"/>
              <w:rPr>
                <w:rFonts w:ascii="Arial" w:hAnsi="Arial" w:eastAsia="Arial" w:cs="Arial"/>
                <w:i/>
                <w:i/>
              </w:rPr>
            </w:pPr>
            <w:r>
              <w:rPr>
                <w:rFonts w:eastAsia="Arial" w:cs="Arial" w:ascii="Arial" w:hAnsi="Arial"/>
              </w:rPr>
              <w:t>Experiência comprovada em atividades de análise de dados espaciais</w:t>
            </w:r>
            <w:r>
              <w:rPr>
                <w:rFonts w:eastAsia="Arial" w:cs="Arial" w:ascii="Arial" w:hAnsi="Arial"/>
                <w:i/>
              </w:rPr>
              <w:t>.</w:t>
            </w:r>
          </w:p>
        </w:tc>
        <w:tc>
          <w:tcPr>
            <w:tcW w:w="4185" w:type="dxa"/>
            <w:tcBorders>
              <w:bottom w:val="single" w:sz="8" w:space="0" w:color="000000"/>
              <w:right w:val="single" w:sz="8" w:space="0" w:color="000000"/>
            </w:tcBorders>
            <w:tcMar>
              <w:top w:w="100" w:type="dxa"/>
              <w:left w:w="100" w:type="dxa"/>
              <w:bottom w:w="100" w:type="dxa"/>
              <w:right w:w="100" w:type="dxa"/>
            </w:tcMar>
          </w:tcPr>
          <w:p>
            <w:pPr>
              <w:pStyle w:val="Normal"/>
              <w:spacing w:before="240" w:after="240"/>
              <w:rPr>
                <w:rFonts w:ascii="Arial" w:hAnsi="Arial" w:eastAsia="Arial" w:cs="Arial"/>
                <w:b/>
                <w:b/>
              </w:rPr>
            </w:pPr>
            <w:r>
              <w:rPr>
                <w:rFonts w:eastAsia="Arial" w:cs="Arial" w:ascii="Arial" w:hAnsi="Arial"/>
                <w:b/>
              </w:rPr>
              <w:t>20 pontos (pontuação máxima)</w:t>
            </w:r>
          </w:p>
          <w:p>
            <w:pPr>
              <w:pStyle w:val="Normal"/>
              <w:spacing w:before="240" w:after="240"/>
              <w:rPr>
                <w:rFonts w:ascii="Arial" w:hAnsi="Arial" w:eastAsia="Arial" w:cs="Arial"/>
                <w:b/>
                <w:b/>
              </w:rPr>
            </w:pPr>
            <w:r>
              <w:rPr>
                <w:rFonts w:eastAsia="Arial" w:cs="Arial" w:ascii="Arial" w:hAnsi="Arial"/>
              </w:rPr>
              <w:t>02 pontos por ano, até o máximo de 20 pontos</w:t>
            </w:r>
          </w:p>
        </w:tc>
      </w:tr>
      <w:tr>
        <w:trPr>
          <w:trHeight w:val="285" w:hRule="atLeast"/>
        </w:trPr>
        <w:tc>
          <w:tcPr>
            <w:tcW w:w="439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eastAsia="Arial" w:cs="Arial"/>
                <w:b/>
                <w:b/>
              </w:rPr>
            </w:pPr>
            <w:r>
              <w:rPr>
                <w:rFonts w:eastAsia="Arial" w:cs="Arial" w:ascii="Arial" w:hAnsi="Arial"/>
                <w:b/>
              </w:rPr>
              <w:t>Pontuação Máxima</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eastAsia="Arial" w:cs="Arial"/>
                <w:b/>
                <w:b/>
              </w:rPr>
            </w:pPr>
            <w:r>
              <w:rPr>
                <w:rFonts w:eastAsia="Arial" w:cs="Arial" w:ascii="Arial" w:hAnsi="Arial"/>
                <w:b/>
              </w:rPr>
              <w:t>60 pontos</w:t>
            </w:r>
          </w:p>
        </w:tc>
      </w:tr>
    </w:tbl>
    <w:p>
      <w:pPr>
        <w:pStyle w:val="Normal"/>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22.</w:t>
      </w:r>
      <w:r>
        <w:rPr/>
        <w:t xml:space="preserve">     </w:t>
      </w:r>
      <w:r>
        <w:rPr>
          <w:rFonts w:eastAsia="Arial" w:cs="Arial" w:ascii="Arial" w:hAnsi="Arial"/>
          <w:b/>
        </w:rPr>
        <w:tab/>
        <w:t>SELEÇÃO FINAL</w:t>
      </w:r>
    </w:p>
    <w:p>
      <w:pPr>
        <w:pStyle w:val="Normal"/>
        <w:jc w:val="both"/>
        <w:rPr>
          <w:rFonts w:ascii="Arial" w:hAnsi="Arial" w:eastAsia="Arial" w:cs="Arial"/>
        </w:rPr>
      </w:pPr>
      <w:r>
        <w:rPr>
          <w:rFonts w:eastAsia="Arial" w:cs="Arial" w:ascii="Arial" w:hAnsi="Arial"/>
        </w:rPr>
      </w:r>
    </w:p>
    <w:p>
      <w:pPr>
        <w:pStyle w:val="Normal"/>
        <w:pBdr/>
        <w:ind w:firstLine="447"/>
        <w:jc w:val="both"/>
        <w:rPr>
          <w:rFonts w:ascii="Arial" w:hAnsi="Arial" w:eastAsia="Arial" w:cs="Arial"/>
        </w:rPr>
      </w:pPr>
      <w:r>
        <w:rPr>
          <w:rFonts w:eastAsia="Arial" w:cs="Arial" w:ascii="Arial" w:hAnsi="Arial"/>
        </w:rPr>
        <w:t>Os candidatos a consultores que preencherem os requisitos eliminatórios e classificatórios serão avaliados, em caráter final, a partir da tabela abaixo:</w:t>
      </w:r>
    </w:p>
    <w:p>
      <w:pPr>
        <w:pStyle w:val="Normal"/>
        <w:jc w:val="both"/>
        <w:rPr>
          <w:rFonts w:ascii="Arial" w:hAnsi="Arial" w:eastAsia="Arial" w:cs="Arial"/>
        </w:rPr>
      </w:pPr>
      <w:r>
        <w:rPr>
          <w:rFonts w:eastAsia="Arial" w:cs="Arial" w:ascii="Arial" w:hAnsi="Arial"/>
        </w:rPr>
      </w:r>
    </w:p>
    <w:p>
      <w:pPr>
        <w:pStyle w:val="Normal"/>
        <w:tabs>
          <w:tab w:val="clear" w:pos="720"/>
          <w:tab w:val="left" w:pos="6480" w:leader="none"/>
        </w:tabs>
        <w:ind w:firstLine="567"/>
        <w:rPr>
          <w:rFonts w:ascii="Arial" w:hAnsi="Arial" w:eastAsia="Arial" w:cs="Arial"/>
          <w:i/>
          <w:i/>
        </w:rPr>
      </w:pPr>
      <w:r>
        <w:rPr>
          <w:rFonts w:eastAsia="Arial" w:cs="Arial" w:ascii="Arial" w:hAnsi="Arial"/>
        </w:rPr>
        <w:t>22.1.</w:t>
      </w:r>
      <w:r>
        <w:rPr>
          <w:rFonts w:eastAsia="Arial" w:cs="Arial" w:ascii="Arial" w:hAnsi="Arial"/>
          <w:i/>
        </w:rPr>
        <w:t xml:space="preserve"> </w:t>
      </w:r>
      <w:r>
        <w:rPr>
          <w:rFonts w:eastAsia="Arial" w:cs="Arial" w:ascii="Arial" w:hAnsi="Arial"/>
        </w:rPr>
        <w:t>Resultados das Fases 1 e 2</w:t>
      </w:r>
      <w:r>
        <w:rPr>
          <w:rFonts w:eastAsia="Arial" w:cs="Arial" w:ascii="Arial" w:hAnsi="Arial"/>
          <w:i/>
        </w:rPr>
        <w:t>:</w:t>
      </w:r>
    </w:p>
    <w:p>
      <w:pPr>
        <w:pStyle w:val="Normal"/>
        <w:tabs>
          <w:tab w:val="clear" w:pos="720"/>
          <w:tab w:val="left" w:pos="6480" w:leader="none"/>
        </w:tabs>
        <w:rPr>
          <w:rFonts w:ascii="Arial" w:hAnsi="Arial" w:eastAsia="Arial" w:cs="Arial"/>
        </w:rPr>
      </w:pPr>
      <w:r>
        <w:rPr>
          <w:rFonts w:eastAsia="Arial" w:cs="Arial" w:ascii="Arial" w:hAnsi="Arial"/>
        </w:rPr>
      </w:r>
    </w:p>
    <w:tbl>
      <w:tblPr>
        <w:tblStyle w:val="afff5"/>
        <w:tblW w:w="9179" w:type="dxa"/>
        <w:jc w:val="center"/>
        <w:tblInd w:w="0" w:type="dxa"/>
        <w:tblCellMar>
          <w:top w:w="0" w:type="dxa"/>
          <w:left w:w="108" w:type="dxa"/>
          <w:bottom w:w="0" w:type="dxa"/>
          <w:right w:w="108" w:type="dxa"/>
        </w:tblCellMar>
        <w:tblLook w:firstRow="0" w:noVBand="0" w:lastRow="0" w:firstColumn="0" w:lastColumn="0" w:noHBand="0" w:val="0000"/>
      </w:tblPr>
      <w:tblGrid>
        <w:gridCol w:w="2338"/>
        <w:gridCol w:w="2161"/>
        <w:gridCol w:w="841"/>
        <w:gridCol w:w="660"/>
        <w:gridCol w:w="659"/>
        <w:gridCol w:w="1259"/>
        <w:gridCol w:w="1260"/>
      </w:tblGrid>
      <w:tr>
        <w:trPr>
          <w:trHeight w:val="163" w:hRule="atLeast"/>
        </w:trPr>
        <w:tc>
          <w:tcPr>
            <w:tcW w:w="2338" w:type="dxa"/>
            <w:vMerge w:val="restart"/>
            <w:tcBorders>
              <w:top w:val="single" w:sz="4" w:space="0" w:color="000000"/>
              <w:lef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Nome do candidato</w:t>
            </w:r>
          </w:p>
        </w:tc>
        <w:tc>
          <w:tcPr>
            <w:tcW w:w="6840" w:type="dxa"/>
            <w:gridSpan w:val="6"/>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b/>
                <w:b/>
              </w:rPr>
            </w:pPr>
            <w:r>
              <w:rPr>
                <w:rFonts w:eastAsia="Arial" w:cs="Arial" w:ascii="Arial" w:hAnsi="Arial"/>
                <w:b/>
              </w:rPr>
              <w:t>Pontuação obtida</w:t>
            </w:r>
          </w:p>
        </w:tc>
      </w:tr>
      <w:tr>
        <w:trPr>
          <w:trHeight w:val="137" w:hRule="atLeast"/>
        </w:trPr>
        <w:tc>
          <w:tcPr>
            <w:tcW w:w="2338" w:type="dxa"/>
            <w:vMerge w:val="continue"/>
            <w:tcBorders>
              <w:top w:val="single" w:sz="4" w:space="0" w:color="000000"/>
              <w:left w:val="single" w:sz="4" w:space="0" w:color="000000"/>
            </w:tcBorders>
            <w:shd w:color="auto" w:fill="D9D9D9" w:val="clear"/>
            <w:vAlign w:val="center"/>
          </w:tcPr>
          <w:p>
            <w:pPr>
              <w:pStyle w:val="Normal"/>
              <w:widowControl w:val="false"/>
              <w:pBdr/>
              <w:spacing w:lineRule="auto" w:line="276"/>
              <w:rPr>
                <w:rFonts w:ascii="Arial" w:hAnsi="Arial" w:eastAsia="Arial" w:cs="Arial"/>
                <w:b/>
                <w:b/>
              </w:rPr>
            </w:pPr>
            <w:r>
              <w:rPr>
                <w:rFonts w:eastAsia="Arial" w:cs="Arial" w:ascii="Arial" w:hAnsi="Arial"/>
                <w:b/>
              </w:rPr>
            </w:r>
          </w:p>
        </w:tc>
        <w:tc>
          <w:tcPr>
            <w:tcW w:w="2161" w:type="dxa"/>
            <w:vMerge w:val="restart"/>
            <w:tcBorders>
              <w:top w:val="single" w:sz="4" w:space="0" w:color="000000"/>
              <w:lef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Qualificação do candidato</w:t>
            </w:r>
          </w:p>
          <w:p>
            <w:pPr>
              <w:pStyle w:val="Normal"/>
              <w:tabs>
                <w:tab w:val="clear" w:pos="720"/>
                <w:tab w:val="left" w:pos="6480" w:leader="none"/>
              </w:tabs>
              <w:jc w:val="center"/>
              <w:rPr>
                <w:rFonts w:ascii="Arial" w:hAnsi="Arial" w:eastAsia="Arial" w:cs="Arial"/>
              </w:rPr>
            </w:pPr>
            <w:r>
              <w:rPr>
                <w:rFonts w:eastAsia="Arial" w:cs="Arial" w:ascii="Arial" w:hAnsi="Arial"/>
              </w:rPr>
              <w:t>(Fase 1)</w:t>
            </w:r>
          </w:p>
          <w:p>
            <w:pPr>
              <w:pStyle w:val="Normal"/>
              <w:tabs>
                <w:tab w:val="clear" w:pos="720"/>
                <w:tab w:val="left" w:pos="6480" w:leader="none"/>
              </w:tabs>
              <w:jc w:val="center"/>
              <w:rPr>
                <w:rFonts w:ascii="Arial" w:hAnsi="Arial" w:eastAsia="Arial" w:cs="Arial"/>
              </w:rPr>
            </w:pPr>
            <w:r>
              <w:rPr>
                <w:rFonts w:eastAsia="Arial" w:cs="Arial" w:ascii="Arial" w:hAnsi="Arial"/>
              </w:rPr>
              <w:t>Máximo de 60 pontos</w:t>
            </w:r>
          </w:p>
          <w:p>
            <w:pPr>
              <w:pStyle w:val="Normal"/>
              <w:tabs>
                <w:tab w:val="clear" w:pos="720"/>
                <w:tab w:val="left" w:pos="6480" w:leader="none"/>
              </w:tabs>
              <w:jc w:val="center"/>
              <w:rPr>
                <w:rFonts w:ascii="Arial" w:hAnsi="Arial" w:eastAsia="Arial" w:cs="Arial"/>
                <w:b/>
                <w:b/>
              </w:rPr>
            </w:pPr>
            <w:r>
              <w:rPr>
                <w:rFonts w:eastAsia="Arial" w:cs="Arial" w:ascii="Arial" w:hAnsi="Arial"/>
                <w:b/>
              </w:rPr>
              <w:t>(A)</w:t>
            </w:r>
          </w:p>
        </w:tc>
        <w:tc>
          <w:tcPr>
            <w:tcW w:w="3419"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Entrevista (Fase 2)</w:t>
            </w:r>
          </w:p>
        </w:tc>
        <w:tc>
          <w:tcPr>
            <w:tcW w:w="1260" w:type="dxa"/>
            <w:vMerge w:val="restart"/>
            <w:tcBorders>
              <w:top w:val="single" w:sz="4" w:space="0" w:color="000000"/>
              <w:left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Total</w:t>
            </w:r>
          </w:p>
          <w:p>
            <w:pPr>
              <w:pStyle w:val="Normal"/>
              <w:tabs>
                <w:tab w:val="clear" w:pos="720"/>
                <w:tab w:val="left" w:pos="6480" w:leader="none"/>
              </w:tabs>
              <w:jc w:val="center"/>
              <w:rPr>
                <w:rFonts w:ascii="Arial" w:hAnsi="Arial" w:eastAsia="Arial" w:cs="Arial"/>
              </w:rPr>
            </w:pPr>
            <w:r>
              <w:rPr>
                <w:rFonts w:eastAsia="Arial" w:cs="Arial" w:ascii="Arial" w:hAnsi="Arial"/>
              </w:rPr>
              <w:t>(A+B)</w:t>
            </w:r>
          </w:p>
          <w:p>
            <w:pPr>
              <w:pStyle w:val="Normal"/>
              <w:tabs>
                <w:tab w:val="clear" w:pos="720"/>
                <w:tab w:val="left" w:pos="6480" w:leader="none"/>
              </w:tabs>
              <w:jc w:val="center"/>
              <w:rPr>
                <w:rFonts w:ascii="Arial" w:hAnsi="Arial" w:eastAsia="Arial" w:cs="Arial"/>
              </w:rPr>
            </w:pPr>
            <w:r>
              <w:rPr>
                <w:rFonts w:eastAsia="Arial" w:cs="Arial" w:ascii="Arial" w:hAnsi="Arial"/>
              </w:rPr>
              <w:t>Máximo de 100 pontos</w:t>
            </w:r>
          </w:p>
          <w:p>
            <w:pPr>
              <w:pStyle w:val="Normal"/>
              <w:tabs>
                <w:tab w:val="clear" w:pos="720"/>
                <w:tab w:val="left" w:pos="6480" w:leader="none"/>
              </w:tabs>
              <w:jc w:val="center"/>
              <w:rPr>
                <w:rFonts w:ascii="Arial" w:hAnsi="Arial" w:eastAsia="Arial" w:cs="Arial"/>
              </w:rPr>
            </w:pPr>
            <w:r>
              <w:rPr>
                <w:rFonts w:eastAsia="Arial" w:cs="Arial" w:ascii="Arial" w:hAnsi="Arial"/>
              </w:rPr>
            </w:r>
          </w:p>
        </w:tc>
      </w:tr>
      <w:tr>
        <w:trPr>
          <w:trHeight w:val="125" w:hRule="atLeast"/>
        </w:trPr>
        <w:tc>
          <w:tcPr>
            <w:tcW w:w="2338" w:type="dxa"/>
            <w:vMerge w:val="continue"/>
            <w:tcBorders>
              <w:top w:val="single" w:sz="4" w:space="0" w:color="000000"/>
              <w:left w:val="single" w:sz="4" w:space="0" w:color="000000"/>
            </w:tcBorders>
            <w:shd w:color="auto" w:fill="D9D9D9" w:val="clear"/>
            <w:vAlign w:val="center"/>
          </w:tcPr>
          <w:p>
            <w:pPr>
              <w:pStyle w:val="Normal"/>
              <w:widowControl w:val="false"/>
              <w:pBdr/>
              <w:spacing w:lineRule="auto" w:line="276"/>
              <w:rPr>
                <w:rFonts w:ascii="Arial" w:hAnsi="Arial" w:eastAsia="Arial" w:cs="Arial"/>
              </w:rPr>
            </w:pPr>
            <w:r>
              <w:rPr>
                <w:rFonts w:eastAsia="Arial" w:cs="Arial" w:ascii="Arial" w:hAnsi="Arial"/>
              </w:rPr>
            </w:r>
          </w:p>
        </w:tc>
        <w:tc>
          <w:tcPr>
            <w:tcW w:w="2161" w:type="dxa"/>
            <w:vMerge w:val="continue"/>
            <w:tcBorders>
              <w:top w:val="single" w:sz="4" w:space="0" w:color="000000"/>
              <w:left w:val="single" w:sz="4" w:space="0" w:color="000000"/>
            </w:tcBorders>
            <w:shd w:color="auto" w:fill="D9D9D9" w:val="clear"/>
            <w:vAlign w:val="center"/>
          </w:tcPr>
          <w:p>
            <w:pPr>
              <w:pStyle w:val="Normal"/>
              <w:widowControl w:val="false"/>
              <w:pBdr/>
              <w:spacing w:lineRule="auto" w:line="276"/>
              <w:rPr>
                <w:rFonts w:ascii="Arial" w:hAnsi="Arial" w:eastAsia="Arial" w:cs="Arial"/>
              </w:rPr>
            </w:pPr>
            <w:r>
              <w:rPr>
                <w:rFonts w:eastAsia="Arial" w:cs="Arial" w:ascii="Arial" w:hAnsi="Arial"/>
              </w:rPr>
            </w:r>
          </w:p>
        </w:tc>
        <w:tc>
          <w:tcPr>
            <w:tcW w:w="841"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E1</w:t>
            </w:r>
          </w:p>
        </w:tc>
        <w:tc>
          <w:tcPr>
            <w:tcW w:w="660"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E2</w:t>
            </w:r>
          </w:p>
        </w:tc>
        <w:tc>
          <w:tcPr>
            <w:tcW w:w="659"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E3</w:t>
            </w:r>
          </w:p>
        </w:tc>
        <w:tc>
          <w:tcPr>
            <w:tcW w:w="1259"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tabs>
                <w:tab w:val="clear" w:pos="720"/>
                <w:tab w:val="left" w:pos="6480" w:leader="none"/>
              </w:tabs>
              <w:jc w:val="center"/>
              <w:rPr>
                <w:rFonts w:ascii="Arial" w:hAnsi="Arial" w:eastAsia="Arial" w:cs="Arial"/>
              </w:rPr>
            </w:pPr>
            <w:r>
              <w:rPr>
                <w:rFonts w:eastAsia="Arial" w:cs="Arial" w:ascii="Arial" w:hAnsi="Arial"/>
              </w:rPr>
              <w:t>Média</w:t>
            </w:r>
          </w:p>
          <w:p>
            <w:pPr>
              <w:pStyle w:val="Normal"/>
              <w:tabs>
                <w:tab w:val="clear" w:pos="720"/>
                <w:tab w:val="left" w:pos="6480" w:leader="none"/>
              </w:tabs>
              <w:jc w:val="center"/>
              <w:rPr>
                <w:rFonts w:ascii="Arial" w:hAnsi="Arial" w:eastAsia="Arial" w:cs="Arial"/>
              </w:rPr>
            </w:pPr>
            <w:r>
              <w:rPr>
                <w:rFonts w:eastAsia="Arial" w:cs="Arial" w:ascii="Arial" w:hAnsi="Arial"/>
              </w:rPr>
              <w:t>(E1+E2+E3)</w:t>
            </w:r>
          </w:p>
          <w:p>
            <w:pPr>
              <w:pStyle w:val="Normal"/>
              <w:tabs>
                <w:tab w:val="clear" w:pos="720"/>
                <w:tab w:val="left" w:pos="6480" w:leader="none"/>
              </w:tabs>
              <w:jc w:val="center"/>
              <w:rPr>
                <w:rFonts w:ascii="Arial" w:hAnsi="Arial" w:eastAsia="Arial" w:cs="Arial"/>
              </w:rPr>
            </w:pPr>
            <w:r>
              <w:rPr>
                <w:rFonts w:eastAsia="Arial" w:cs="Arial" w:ascii="Arial" w:hAnsi="Arial"/>
              </w:rPr>
              <w:t>Máximo de 40 pontos</w:t>
            </w:r>
          </w:p>
          <w:p>
            <w:pPr>
              <w:pStyle w:val="Normal"/>
              <w:tabs>
                <w:tab w:val="clear" w:pos="720"/>
                <w:tab w:val="left" w:pos="6480" w:leader="none"/>
              </w:tabs>
              <w:jc w:val="center"/>
              <w:rPr>
                <w:rFonts w:ascii="Arial" w:hAnsi="Arial" w:eastAsia="Arial" w:cs="Arial"/>
                <w:b/>
                <w:b/>
              </w:rPr>
            </w:pPr>
            <w:r>
              <w:rPr>
                <w:rFonts w:eastAsia="Arial" w:cs="Arial" w:ascii="Arial" w:hAnsi="Arial"/>
                <w:b/>
              </w:rPr>
              <w:t>(B)</w:t>
            </w:r>
          </w:p>
        </w:tc>
        <w:tc>
          <w:tcPr>
            <w:tcW w:w="1260" w:type="dxa"/>
            <w:vMerge w:val="continue"/>
            <w:tcBorders>
              <w:top w:val="single" w:sz="4" w:space="0" w:color="000000"/>
              <w:left w:val="single" w:sz="4" w:space="0" w:color="000000"/>
              <w:right w:val="single" w:sz="4" w:space="0" w:color="000000"/>
            </w:tcBorders>
            <w:shd w:color="auto" w:fill="D9D9D9" w:val="clear"/>
            <w:vAlign w:val="center"/>
          </w:tcPr>
          <w:p>
            <w:pPr>
              <w:pStyle w:val="Normal"/>
              <w:widowControl w:val="false"/>
              <w:pBdr/>
              <w:spacing w:lineRule="auto" w:line="276"/>
              <w:rPr>
                <w:rFonts w:ascii="Arial" w:hAnsi="Arial" w:eastAsia="Arial" w:cs="Arial"/>
                <w:b/>
                <w:b/>
              </w:rPr>
            </w:pPr>
            <w:r>
              <w:rPr>
                <w:rFonts w:eastAsia="Arial" w:cs="Arial" w:ascii="Arial" w:hAnsi="Arial"/>
                <w:b/>
              </w:rPr>
            </w:r>
          </w:p>
        </w:tc>
      </w:tr>
      <w:tr>
        <w:trPr>
          <w:trHeight w:val="389" w:hRule="atLeast"/>
        </w:trPr>
        <w:tc>
          <w:tcPr>
            <w:tcW w:w="2338" w:type="dxa"/>
            <w:tcBorders>
              <w:top w:val="single" w:sz="4" w:space="0" w:color="000000"/>
              <w:left w:val="single" w:sz="4" w:space="0" w:color="000000"/>
              <w:bottom w:val="single" w:sz="4" w:space="0" w:color="000000"/>
            </w:tcBorders>
            <w:vAlign w:val="center"/>
          </w:tcPr>
          <w:p>
            <w:pPr>
              <w:pStyle w:val="Normal"/>
              <w:numPr>
                <w:ilvl w:val="0"/>
                <w:numId w:val="9"/>
              </w:numPr>
              <w:tabs>
                <w:tab w:val="clear" w:pos="720"/>
                <w:tab w:val="left" w:pos="6480" w:leader="none"/>
              </w:tabs>
              <w:ind w:left="34" w:right="34" w:hanging="0"/>
              <w:rPr>
                <w:rFonts w:ascii="Arial" w:hAnsi="Arial" w:eastAsia="Arial" w:cs="Arial"/>
              </w:rPr>
            </w:pPr>
            <w:r>
              <w:rPr>
                <w:rFonts w:eastAsia="Arial" w:cs="Arial" w:ascii="Arial" w:hAnsi="Arial"/>
              </w:rPr>
            </w:r>
          </w:p>
        </w:tc>
        <w:tc>
          <w:tcPr>
            <w:tcW w:w="2161" w:type="dxa"/>
            <w:tcBorders>
              <w:top w:val="single" w:sz="4" w:space="0" w:color="000000"/>
              <w:left w:val="single" w:sz="4" w:space="0" w:color="000000"/>
              <w:bottom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r>
      <w:tr>
        <w:trPr>
          <w:trHeight w:val="390" w:hRule="atLeast"/>
        </w:trPr>
        <w:tc>
          <w:tcPr>
            <w:tcW w:w="2338" w:type="dxa"/>
            <w:tcBorders>
              <w:top w:val="single" w:sz="4" w:space="0" w:color="000000"/>
              <w:left w:val="single" w:sz="4" w:space="0" w:color="000000"/>
              <w:bottom w:val="single" w:sz="4" w:space="0" w:color="000000"/>
            </w:tcBorders>
            <w:vAlign w:val="center"/>
          </w:tcPr>
          <w:p>
            <w:pPr>
              <w:pStyle w:val="Normal"/>
              <w:numPr>
                <w:ilvl w:val="0"/>
                <w:numId w:val="9"/>
              </w:numPr>
              <w:tabs>
                <w:tab w:val="clear" w:pos="720"/>
                <w:tab w:val="left" w:pos="6480" w:leader="none"/>
              </w:tabs>
              <w:ind w:left="34" w:hanging="0"/>
              <w:rPr>
                <w:rFonts w:ascii="Arial" w:hAnsi="Arial" w:eastAsia="Arial" w:cs="Arial"/>
              </w:rPr>
            </w:pPr>
            <w:r>
              <w:rPr>
                <w:rFonts w:eastAsia="Arial" w:cs="Arial" w:ascii="Arial" w:hAnsi="Arial"/>
              </w:rPr>
            </w:r>
          </w:p>
        </w:tc>
        <w:tc>
          <w:tcPr>
            <w:tcW w:w="2161" w:type="dxa"/>
            <w:tcBorders>
              <w:top w:val="single" w:sz="4" w:space="0" w:color="000000"/>
              <w:left w:val="single" w:sz="4" w:space="0" w:color="000000"/>
              <w:bottom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r>
      <w:tr>
        <w:trPr>
          <w:trHeight w:val="435" w:hRule="atLeast"/>
        </w:trPr>
        <w:tc>
          <w:tcPr>
            <w:tcW w:w="2338" w:type="dxa"/>
            <w:tcBorders>
              <w:top w:val="single" w:sz="4" w:space="0" w:color="000000"/>
              <w:left w:val="single" w:sz="4" w:space="0" w:color="000000"/>
              <w:bottom w:val="single" w:sz="4" w:space="0" w:color="000000"/>
            </w:tcBorders>
            <w:vAlign w:val="center"/>
          </w:tcPr>
          <w:p>
            <w:pPr>
              <w:pStyle w:val="Normal"/>
              <w:numPr>
                <w:ilvl w:val="0"/>
                <w:numId w:val="9"/>
              </w:numPr>
              <w:tabs>
                <w:tab w:val="clear" w:pos="720"/>
                <w:tab w:val="left" w:pos="6480" w:leader="none"/>
              </w:tabs>
              <w:ind w:left="34" w:hanging="0"/>
              <w:rPr>
                <w:rFonts w:ascii="Arial" w:hAnsi="Arial" w:eastAsia="Arial" w:cs="Arial"/>
              </w:rPr>
            </w:pPr>
            <w:r>
              <w:rPr>
                <w:rFonts w:eastAsia="Arial" w:cs="Arial" w:ascii="Arial" w:hAnsi="Arial"/>
              </w:rPr>
            </w:r>
          </w:p>
        </w:tc>
        <w:tc>
          <w:tcPr>
            <w:tcW w:w="2161" w:type="dxa"/>
            <w:tcBorders>
              <w:top w:val="single" w:sz="4" w:space="0" w:color="000000"/>
              <w:left w:val="single" w:sz="4" w:space="0" w:color="000000"/>
              <w:bottom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84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6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6480" w:leader="none"/>
              </w:tabs>
              <w:jc w:val="center"/>
              <w:rPr>
                <w:rFonts w:ascii="Arial" w:hAnsi="Arial" w:eastAsia="Arial" w:cs="Arial"/>
              </w:rPr>
            </w:pPr>
            <w:r>
              <w:rPr>
                <w:rFonts w:eastAsia="Arial" w:cs="Arial" w:ascii="Arial" w:hAnsi="Arial"/>
              </w:rPr>
            </w:r>
          </w:p>
        </w:tc>
      </w:tr>
    </w:tbl>
    <w:p>
      <w:pPr>
        <w:pStyle w:val="Normal"/>
        <w:tabs>
          <w:tab w:val="clear" w:pos="720"/>
          <w:tab w:val="left" w:pos="927" w:leader="none"/>
          <w:tab w:val="left" w:pos="6480" w:leader="none"/>
          <w:tab w:val="left" w:pos="7305" w:leader="none"/>
          <w:tab w:val="left" w:pos="8962" w:leader="none"/>
        </w:tabs>
        <w:rPr>
          <w:rFonts w:ascii="Arial" w:hAnsi="Arial" w:eastAsia="Arial" w:cs="Arial"/>
        </w:rPr>
      </w:pPr>
      <w:r>
        <w:rPr>
          <w:rFonts w:eastAsia="Arial" w:cs="Arial" w:ascii="Arial" w:hAnsi="Arial"/>
        </w:rPr>
        <w:t>(Entrevistador 1, 2 e 3)</w:t>
      </w:r>
    </w:p>
    <w:p>
      <w:pPr>
        <w:pStyle w:val="Normal"/>
        <w:tabs>
          <w:tab w:val="clear" w:pos="720"/>
          <w:tab w:val="left" w:pos="927" w:leader="none"/>
          <w:tab w:val="left" w:pos="7305" w:leader="none"/>
          <w:tab w:val="left" w:pos="8962" w:leader="none"/>
        </w:tabs>
        <w:spacing w:before="240" w:after="0"/>
        <w:jc w:val="both"/>
        <w:rPr>
          <w:rFonts w:ascii="Arial" w:hAnsi="Arial" w:eastAsia="Arial" w:cs="Arial"/>
        </w:rPr>
      </w:pPr>
      <w:r>
        <w:rPr>
          <w:rFonts w:eastAsia="Arial" w:cs="Arial" w:ascii="Arial" w:hAnsi="Arial"/>
        </w:rPr>
        <w:t xml:space="preserve">Será considerado “melhor classificado” o candidato que obtiver a maior pontuação dada pela tabela anterior. </w:t>
      </w:r>
    </w:p>
    <w:p>
      <w:pPr>
        <w:pStyle w:val="Normal"/>
        <w:spacing w:before="240" w:after="0"/>
        <w:jc w:val="both"/>
        <w:rPr>
          <w:rFonts w:ascii="Arial" w:hAnsi="Arial" w:eastAsia="Arial" w:cs="Arial"/>
        </w:rPr>
      </w:pPr>
      <w:r>
        <w:rPr>
          <w:rFonts w:eastAsia="Arial" w:cs="Arial" w:ascii="Arial" w:hAnsi="Arial"/>
        </w:rPr>
        <w:t>Em caso de empate, ou de empates sucessivos, será considerado selecionado nesta ordem, o candidato que:</w:t>
      </w:r>
    </w:p>
    <w:p>
      <w:pPr>
        <w:pStyle w:val="Normal"/>
        <w:numPr>
          <w:ilvl w:val="0"/>
          <w:numId w:val="10"/>
        </w:numPr>
        <w:spacing w:before="240" w:after="120"/>
        <w:jc w:val="both"/>
        <w:rPr>
          <w:rFonts w:ascii="Arial" w:hAnsi="Arial" w:eastAsia="Arial" w:cs="Arial"/>
        </w:rPr>
      </w:pPr>
      <w:r>
        <w:rPr>
          <w:rFonts w:eastAsia="Arial" w:cs="Arial" w:ascii="Arial" w:hAnsi="Arial"/>
        </w:rPr>
        <w:t>tiver obtido a maior pontuação no quesito “experiência específica”;</w:t>
      </w:r>
    </w:p>
    <w:p>
      <w:pPr>
        <w:pStyle w:val="Normal"/>
        <w:numPr>
          <w:ilvl w:val="0"/>
          <w:numId w:val="10"/>
        </w:numPr>
        <w:spacing w:before="240" w:after="120"/>
        <w:jc w:val="both"/>
        <w:rPr>
          <w:rFonts w:ascii="Arial" w:hAnsi="Arial" w:eastAsia="Arial" w:cs="Arial"/>
        </w:rPr>
      </w:pPr>
      <w:r>
        <w:rPr>
          <w:rFonts w:eastAsia="Arial" w:cs="Arial" w:ascii="Arial" w:hAnsi="Arial"/>
        </w:rPr>
        <w:t xml:space="preserve">tiver “formação acadêmica” mais completa, considerando sucessivamente cursos de especialização, mestrado e doutorado; </w:t>
      </w:r>
    </w:p>
    <w:p>
      <w:pPr>
        <w:pStyle w:val="Normal"/>
        <w:numPr>
          <w:ilvl w:val="0"/>
          <w:numId w:val="10"/>
        </w:numPr>
        <w:spacing w:before="240" w:after="120"/>
        <w:jc w:val="both"/>
        <w:rPr>
          <w:rFonts w:ascii="Arial" w:hAnsi="Arial" w:eastAsia="Arial" w:cs="Arial"/>
        </w:rPr>
      </w:pPr>
      <w:r>
        <w:rPr>
          <w:rFonts w:eastAsia="Arial" w:cs="Arial" w:ascii="Arial" w:hAnsi="Arial"/>
        </w:rPr>
        <w:t>o que for mais idoso.</w:t>
      </w:r>
    </w:p>
    <w:p>
      <w:pPr>
        <w:pStyle w:val="Normal"/>
        <w:spacing w:before="240" w:after="0"/>
        <w:ind w:firstLine="709"/>
        <w:jc w:val="both"/>
        <w:rPr>
          <w:rFonts w:ascii="Arial" w:hAnsi="Arial" w:eastAsia="Arial" w:cs="Arial"/>
        </w:rPr>
      </w:pPr>
      <w:r>
        <w:rPr>
          <w:rFonts w:eastAsia="Arial" w:cs="Arial" w:ascii="Arial" w:hAnsi="Arial"/>
        </w:rPr>
        <w:t>22.2. Resultado da Fase 3.</w:t>
      </w:r>
    </w:p>
    <w:p>
      <w:pPr>
        <w:pStyle w:val="Normal"/>
        <w:spacing w:before="240" w:after="0"/>
        <w:ind w:firstLine="851"/>
        <w:jc w:val="both"/>
        <w:rPr>
          <w:rFonts w:ascii="Arial" w:hAnsi="Arial" w:eastAsia="Arial" w:cs="Arial"/>
        </w:rPr>
      </w:pPr>
      <w:r>
        <w:rPr>
          <w:rFonts w:eastAsia="Arial" w:cs="Arial" w:ascii="Arial" w:hAnsi="Arial"/>
        </w:rPr>
        <w:t xml:space="preserve">De caráter eliminatório e classificatório, esta fase consiste na comprovação pelo candidato das informações constantes no </w:t>
      </w:r>
      <w:r>
        <w:rPr>
          <w:rFonts w:eastAsia="Arial" w:cs="Arial" w:ascii="Arial" w:hAnsi="Arial"/>
          <w:i/>
        </w:rPr>
        <w:t xml:space="preserve">curriculum vitae </w:t>
      </w:r>
      <w:r>
        <w:rPr>
          <w:rFonts w:eastAsia="Arial" w:cs="Arial" w:ascii="Arial" w:hAnsi="Arial"/>
        </w:rPr>
        <w:t xml:space="preserve">apresentado por ele e disponível na base de dados do IICA. Importante destacar que a não comprovação da veracidade das informações constantes do </w:t>
      </w:r>
      <w:r>
        <w:rPr>
          <w:rFonts w:eastAsia="Arial" w:cs="Arial" w:ascii="Arial" w:hAnsi="Arial"/>
          <w:i/>
        </w:rPr>
        <w:t>curriculum vitae</w:t>
      </w:r>
      <w:r>
        <w:rPr>
          <w:rFonts w:eastAsia="Arial" w:cs="Arial" w:ascii="Arial" w:hAnsi="Arial"/>
        </w:rPr>
        <w:t xml:space="preserve"> apresentado pelo candidato, a critério da Comissão de Seleção, elimina-o do certame ou levará a uma revisão da pontuação atinente à qualificação do candidato (fase 1), relacionada ao item específico não comprovado.</w:t>
      </w:r>
    </w:p>
    <w:p>
      <w:pPr>
        <w:pStyle w:val="Normal"/>
        <w:spacing w:before="240" w:after="0"/>
        <w:ind w:firstLine="851"/>
        <w:jc w:val="both"/>
        <w:rPr>
          <w:rFonts w:ascii="Arial" w:hAnsi="Arial" w:eastAsia="Arial" w:cs="Arial"/>
        </w:rPr>
      </w:pPr>
      <w:r>
        <w:rPr>
          <w:rFonts w:eastAsia="Arial" w:cs="Arial" w:ascii="Arial" w:hAnsi="Arial"/>
        </w:rPr>
        <w:t xml:space="preserve">Os processos seletivos terão validade de até 12 (doze) meses, a contar da data de sua divulgação, conforme Manual de Normas e Procedimentos para Projetos de Cooperação Técnica do IICA no Brasil. </w:t>
      </w:r>
    </w:p>
    <w:p>
      <w:pPr>
        <w:pStyle w:val="Normal"/>
        <w:spacing w:before="240" w:after="0"/>
        <w:ind w:firstLine="851"/>
        <w:jc w:val="both"/>
        <w:rPr>
          <w:rFonts w:ascii="Arial" w:hAnsi="Arial" w:eastAsia="Arial" w:cs="Arial"/>
        </w:rPr>
      </w:pPr>
      <w:r>
        <w:rPr>
          <w:rFonts w:eastAsia="Arial" w:cs="Arial" w:ascii="Arial" w:hAnsi="Arial"/>
        </w:rPr>
      </w:r>
    </w:p>
    <w:p>
      <w:pPr>
        <w:pStyle w:val="Normal"/>
        <w:shd w:val="clear" w:color="auto" w:fill="D9D9D9"/>
        <w:tabs>
          <w:tab w:val="left" w:pos="720" w:leader="none"/>
          <w:tab w:val="left" w:pos="900" w:leader="none"/>
        </w:tabs>
        <w:rPr>
          <w:rFonts w:ascii="Arial" w:hAnsi="Arial" w:eastAsia="Arial" w:cs="Arial"/>
          <w:b/>
          <w:b/>
        </w:rPr>
      </w:pPr>
      <w:r>
        <w:rPr>
          <w:rFonts w:eastAsia="Arial" w:cs="Arial" w:ascii="Arial" w:hAnsi="Arial"/>
          <w:b/>
        </w:rPr>
        <w:t>23</w:t>
      </w:r>
      <w:r>
        <w:rPr/>
        <w:t xml:space="preserve">     </w:t>
      </w:r>
      <w:r>
        <w:rPr>
          <w:rFonts w:eastAsia="Arial" w:cs="Arial" w:ascii="Arial" w:hAnsi="Arial"/>
          <w:b/>
        </w:rPr>
        <w:t>.</w:t>
        <w:tab/>
        <w:t>PROCEDIMENTO DE CONTRATAÇÃO</w:t>
      </w:r>
    </w:p>
    <w:p>
      <w:pPr>
        <w:pStyle w:val="Normal"/>
        <w:jc w:val="both"/>
        <w:rPr>
          <w:rFonts w:ascii="Arial" w:hAnsi="Arial" w:eastAsia="Arial" w:cs="Arial"/>
        </w:rPr>
      </w:pPr>
      <w:r>
        <w:rPr>
          <w:rFonts w:eastAsia="Arial" w:cs="Arial" w:ascii="Arial" w:hAnsi="Arial"/>
        </w:rPr>
      </w:r>
    </w:p>
    <w:p>
      <w:pPr>
        <w:pStyle w:val="Normal"/>
        <w:jc w:val="both"/>
        <w:rPr>
          <w:rFonts w:ascii="Arial" w:hAnsi="Arial" w:eastAsia="Arial" w:cs="Arial"/>
        </w:rPr>
      </w:pPr>
      <w:r>
        <w:rPr>
          <w:rFonts w:eastAsia="Arial" w:cs="Arial" w:ascii="Arial" w:hAnsi="Arial"/>
        </w:rPr>
        <w:t>O consultor aprovado no processo seletivo deverá realizar os seguintes passos:</w:t>
      </w:r>
    </w:p>
    <w:p>
      <w:pPr>
        <w:pStyle w:val="Normal"/>
        <w:numPr>
          <w:ilvl w:val="0"/>
          <w:numId w:val="5"/>
        </w:numPr>
        <w:spacing w:before="120" w:after="120"/>
        <w:jc w:val="both"/>
        <w:rPr>
          <w:rFonts w:ascii="Arial" w:hAnsi="Arial" w:eastAsia="Arial" w:cs="Arial"/>
        </w:rPr>
      </w:pPr>
      <w:r>
        <w:rPr>
          <w:rFonts w:eastAsia="Arial" w:cs="Arial" w:ascii="Arial" w:hAnsi="Arial"/>
        </w:rPr>
        <w:t>Preencher a Ficha Cadastral do IICA que será enviada pelo Projeto;</w:t>
      </w:r>
    </w:p>
    <w:p>
      <w:pPr>
        <w:pStyle w:val="Normal"/>
        <w:numPr>
          <w:ilvl w:val="0"/>
          <w:numId w:val="5"/>
        </w:numPr>
        <w:spacing w:before="120" w:after="120"/>
        <w:jc w:val="both"/>
        <w:rPr>
          <w:rFonts w:ascii="Arial" w:hAnsi="Arial" w:eastAsia="Arial" w:cs="Arial"/>
        </w:rPr>
      </w:pPr>
      <w:r>
        <w:rPr>
          <w:rFonts w:eastAsia="Arial" w:cs="Arial" w:ascii="Arial" w:hAnsi="Arial"/>
        </w:rPr>
        <w:t>Apresentar os seguintes documentos à Direção Nacional do PCT BRA/IICA/16/001, em Brasília-DF:</w:t>
      </w:r>
    </w:p>
    <w:p>
      <w:pPr>
        <w:pStyle w:val="Normal"/>
        <w:spacing w:before="120" w:after="120"/>
        <w:ind w:left="720" w:hanging="0"/>
        <w:jc w:val="both"/>
        <w:rPr>
          <w:rFonts w:ascii="Arial" w:hAnsi="Arial" w:eastAsia="Arial" w:cs="Arial"/>
        </w:rPr>
      </w:pPr>
      <w:r>
        <w:rPr>
          <w:rFonts w:eastAsia="Arial" w:cs="Arial" w:ascii="Arial" w:hAnsi="Arial"/>
        </w:rPr>
        <w:t>- Original ou cópia autenticada do diploma e certificados;</w:t>
      </w:r>
    </w:p>
    <w:p>
      <w:pPr>
        <w:pStyle w:val="Normal"/>
        <w:spacing w:before="120" w:after="120"/>
        <w:ind w:left="720" w:hanging="0"/>
        <w:jc w:val="both"/>
        <w:rPr>
          <w:rFonts w:ascii="Arial" w:hAnsi="Arial" w:eastAsia="Arial" w:cs="Arial"/>
        </w:rPr>
      </w:pPr>
      <w:r>
        <w:rPr>
          <w:rFonts w:eastAsia="Arial" w:cs="Arial" w:ascii="Arial" w:hAnsi="Arial"/>
        </w:rPr>
        <w:t>- CPF, RG e ou identidade profissional;</w:t>
      </w:r>
    </w:p>
    <w:p>
      <w:pPr>
        <w:pStyle w:val="Normal"/>
        <w:spacing w:before="120" w:after="120"/>
        <w:ind w:left="720" w:hanging="0"/>
        <w:jc w:val="both"/>
        <w:rPr>
          <w:rFonts w:ascii="Arial" w:hAnsi="Arial" w:eastAsia="Arial" w:cs="Arial"/>
        </w:rPr>
      </w:pPr>
      <w:r>
        <w:rPr>
          <w:rFonts w:eastAsia="Arial" w:cs="Arial" w:ascii="Arial" w:hAnsi="Arial"/>
        </w:rPr>
        <w:t xml:space="preserve">- Documentação que comprove o seu histórico profissional. </w:t>
      </w:r>
    </w:p>
    <w:p>
      <w:pPr>
        <w:pStyle w:val="Normal"/>
        <w:jc w:val="both"/>
        <w:rPr>
          <w:rFonts w:ascii="Arial" w:hAnsi="Arial" w:eastAsia="Arial" w:cs="Arial"/>
          <w:b/>
          <w:b/>
        </w:rPr>
      </w:pPr>
      <w:r>
        <w:rPr>
          <w:rFonts w:eastAsia="Arial" w:cs="Arial" w:ascii="Arial" w:hAnsi="Arial"/>
        </w:rPr>
        <w:t>A Coordenação Nacional do PCT encaminhará ao Escritório do IICA no Brasil a solicitação para a contratação do consultor, que receberá as vias do contrato para assinatura e posterior devolução. Alternativamente, a assinatura poderá ocorrer por meio eletrônico.</w:t>
      </w:r>
    </w:p>
    <w:sectPr>
      <w:footerReference w:type="default" r:id="rId4"/>
      <w:type w:val="nextPage"/>
      <w:pgSz w:w="11906" w:h="16838"/>
      <w:pgMar w:left="1701" w:right="1133" w:header="0" w:top="1417" w:footer="708" w:bottom="1417"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Light">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Georgia">
    <w:charset w:val="00"/>
    <w:family w:val="roman"/>
    <w:pitch w:val="variable"/>
  </w:font>
  <w:font w:name="Helvetica Neue">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 w:name="Noto Sans Symbol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4252" w:leader="none"/>
        <w:tab w:val="right" w:pos="8504" w:leader="none"/>
      </w:tabs>
      <w:jc w:val="right"/>
      <w:rPr>
        <w:color w:val="A6A6A6"/>
        <w:sz w:val="15"/>
        <w:szCs w:val="15"/>
      </w:rPr>
    </w:pPr>
    <w:r>
      <w:rPr>
        <w:color w:val="A6A6A6"/>
        <w:sz w:val="15"/>
        <w:szCs w:val="15"/>
      </w:rPr>
      <w:t>v.09092</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lowerLetter"/>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
    <w:lvl w:ilvl="0">
      <w:start w:val="1"/>
      <w:numFmt w:val="bullet"/>
      <w:lvlText w:val="▪"/>
      <w:lvlJc w:val="left"/>
      <w:pPr>
        <w:ind w:left="720" w:hanging="360"/>
      </w:pPr>
      <w:rPr>
        <w:rFonts w:ascii="OpenSymbol" w:hAnsi="OpenSymbol" w:cs="OpenSymbol" w:hint="default"/>
      </w:rPr>
    </w:lvl>
    <w:lvl w:ilvl="1">
      <w:start w:val="1"/>
      <w:numFmt w:val="bullet"/>
      <w:lvlText w:val=""/>
      <w:lvlJc w:val="left"/>
      <w:pPr>
        <w:ind w:left="0" w:hanging="0"/>
      </w:pPr>
      <w:rPr>
        <w:rFonts w:ascii="Noto Sans Symbols" w:hAnsi="Noto Sans Symbols" w:cs="Noto Sans Symbols" w:hint="default"/>
        <w:rFonts w:cs="Noto Sans Symbols"/>
      </w:rPr>
    </w:lvl>
    <w:lvl w:ilvl="2">
      <w:start w:val="1"/>
      <w:numFmt w:val="bullet"/>
      <w:lvlText w:val=""/>
      <w:lvlJc w:val="left"/>
      <w:pPr>
        <w:ind w:left="0" w:hanging="0"/>
      </w:pPr>
      <w:rPr>
        <w:rFonts w:ascii="Noto Sans Symbols" w:hAnsi="Noto Sans Symbols" w:cs="Noto Sans Symbols" w:hint="default"/>
        <w:rFonts w:cs="Noto Sans Symbols"/>
      </w:rPr>
    </w:lvl>
    <w:lvl w:ilvl="3">
      <w:start w:val="1"/>
      <w:numFmt w:val="bullet"/>
      <w:lvlText w:val=""/>
      <w:lvlJc w:val="left"/>
      <w:pPr>
        <w:ind w:left="0" w:hanging="0"/>
      </w:pPr>
      <w:rPr>
        <w:rFonts w:ascii="Noto Sans Symbols" w:hAnsi="Noto Sans Symbols" w:cs="Noto Sans Symbols" w:hint="default"/>
        <w:rFonts w:cs="Noto Sans Symbols"/>
      </w:rPr>
    </w:lvl>
    <w:lvl w:ilvl="4">
      <w:start w:val="1"/>
      <w:numFmt w:val="bullet"/>
      <w:lvlText w:val=""/>
      <w:lvlJc w:val="left"/>
      <w:pPr>
        <w:ind w:left="0" w:hanging="0"/>
      </w:pPr>
      <w:rPr>
        <w:rFonts w:ascii="Noto Sans Symbols" w:hAnsi="Noto Sans Symbols" w:cs="Noto Sans Symbols" w:hint="default"/>
        <w:rFonts w:cs="Noto Sans Symbols"/>
      </w:rPr>
    </w:lvl>
    <w:lvl w:ilvl="5">
      <w:start w:val="1"/>
      <w:numFmt w:val="bullet"/>
      <w:lvlText w:val=""/>
      <w:lvlJc w:val="left"/>
      <w:pPr>
        <w:ind w:left="0" w:hanging="0"/>
      </w:pPr>
      <w:rPr>
        <w:rFonts w:ascii="Noto Sans Symbols" w:hAnsi="Noto Sans Symbols" w:cs="Noto Sans Symbols" w:hint="default"/>
        <w:rFonts w:cs="Noto Sans Symbols"/>
      </w:rPr>
    </w:lvl>
    <w:lvl w:ilvl="6">
      <w:start w:val="1"/>
      <w:numFmt w:val="bullet"/>
      <w:lvlText w:val=""/>
      <w:lvlJc w:val="left"/>
      <w:pPr>
        <w:ind w:left="0" w:hanging="0"/>
      </w:pPr>
      <w:rPr>
        <w:rFonts w:ascii="Noto Sans Symbols" w:hAnsi="Noto Sans Symbols" w:cs="Noto Sans Symbols" w:hint="default"/>
        <w:rFonts w:cs="Noto Sans Symbols"/>
      </w:rPr>
    </w:lvl>
    <w:lvl w:ilvl="7">
      <w:start w:val="1"/>
      <w:numFmt w:val="bullet"/>
      <w:lvlText w:val=""/>
      <w:lvlJc w:val="left"/>
      <w:pPr>
        <w:ind w:left="0" w:hanging="0"/>
      </w:pPr>
      <w:rPr>
        <w:rFonts w:ascii="Noto Sans Symbols" w:hAnsi="Noto Sans Symbols" w:cs="Noto Sans Symbols" w:hint="default"/>
        <w:rFonts w:cs="Noto Sans Symbols"/>
      </w:rPr>
    </w:lvl>
    <w:lvl w:ilvl="8">
      <w:start w:val="1"/>
      <w:numFmt w:val="bullet"/>
      <w:lvlText w:val=""/>
      <w:lvlJc w:val="left"/>
      <w:pPr>
        <w:ind w:left="0" w:hanging="0"/>
      </w:pPr>
      <w:rPr>
        <w:rFonts w:ascii="Noto Sans Symbols" w:hAnsi="Noto Sans Symbols" w:cs="Noto Sans Symbols" w:hint="default"/>
        <w:rFonts w:cs="Noto Sans Symbols"/>
      </w:r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1080" w:hanging="360"/>
      </w:pPr>
    </w:lvl>
    <w:lvl w:ilvl="1">
      <w:start w:val="1"/>
      <w:numFmt w:val="bullet"/>
      <w:lvlText w:val=""/>
      <w:lvlJc w:val="left"/>
      <w:pPr>
        <w:ind w:left="0" w:hanging="0"/>
      </w:pPr>
      <w:rPr>
        <w:rFonts w:ascii="Noto Sans Symbols" w:hAnsi="Noto Sans Symbols" w:cs="Noto Sans Symbols" w:hint="default"/>
        <w:rFonts w:cs="Noto Sans Symbols"/>
      </w:rPr>
    </w:lvl>
    <w:lvl w:ilvl="2">
      <w:start w:val="1"/>
      <w:numFmt w:val="bullet"/>
      <w:lvlText w:val=""/>
      <w:lvlJc w:val="left"/>
      <w:pPr>
        <w:ind w:left="0" w:hanging="0"/>
      </w:pPr>
      <w:rPr>
        <w:rFonts w:ascii="Noto Sans Symbols" w:hAnsi="Noto Sans Symbols" w:cs="Noto Sans Symbols" w:hint="default"/>
        <w:rFonts w:cs="Noto Sans Symbols"/>
      </w:rPr>
    </w:lvl>
    <w:lvl w:ilvl="3">
      <w:start w:val="1"/>
      <w:numFmt w:val="bullet"/>
      <w:lvlText w:val=""/>
      <w:lvlJc w:val="left"/>
      <w:pPr>
        <w:ind w:left="0" w:hanging="0"/>
      </w:pPr>
      <w:rPr>
        <w:rFonts w:ascii="Noto Sans Symbols" w:hAnsi="Noto Sans Symbols" w:cs="Noto Sans Symbols" w:hint="default"/>
        <w:rFonts w:cs="Noto Sans Symbols"/>
      </w:rPr>
    </w:lvl>
    <w:lvl w:ilvl="4">
      <w:start w:val="1"/>
      <w:numFmt w:val="bullet"/>
      <w:lvlText w:val=""/>
      <w:lvlJc w:val="left"/>
      <w:pPr>
        <w:ind w:left="0" w:hanging="0"/>
      </w:pPr>
      <w:rPr>
        <w:rFonts w:ascii="Noto Sans Symbols" w:hAnsi="Noto Sans Symbols" w:cs="Noto Sans Symbols" w:hint="default"/>
        <w:rFonts w:cs="Noto Sans Symbols"/>
      </w:rPr>
    </w:lvl>
    <w:lvl w:ilvl="5">
      <w:start w:val="1"/>
      <w:numFmt w:val="bullet"/>
      <w:lvlText w:val=""/>
      <w:lvlJc w:val="left"/>
      <w:pPr>
        <w:ind w:left="0" w:hanging="0"/>
      </w:pPr>
      <w:rPr>
        <w:rFonts w:ascii="Noto Sans Symbols" w:hAnsi="Noto Sans Symbols" w:cs="Noto Sans Symbols" w:hint="default"/>
        <w:rFonts w:cs="Noto Sans Symbols"/>
      </w:rPr>
    </w:lvl>
    <w:lvl w:ilvl="6">
      <w:start w:val="1"/>
      <w:numFmt w:val="bullet"/>
      <w:lvlText w:val=""/>
      <w:lvlJc w:val="left"/>
      <w:pPr>
        <w:ind w:left="0" w:hanging="0"/>
      </w:pPr>
      <w:rPr>
        <w:rFonts w:ascii="Noto Sans Symbols" w:hAnsi="Noto Sans Symbols" w:cs="Noto Sans Symbols" w:hint="default"/>
        <w:rFonts w:cs="Noto Sans Symbols"/>
      </w:rPr>
    </w:lvl>
    <w:lvl w:ilvl="7">
      <w:start w:val="1"/>
      <w:numFmt w:val="bullet"/>
      <w:lvlText w:val=""/>
      <w:lvlJc w:val="left"/>
      <w:pPr>
        <w:ind w:left="0" w:hanging="0"/>
      </w:pPr>
      <w:rPr>
        <w:rFonts w:ascii="Noto Sans Symbols" w:hAnsi="Noto Sans Symbols" w:cs="Noto Sans Symbols" w:hint="default"/>
        <w:rFonts w:cs="Noto Sans Symbols"/>
      </w:rPr>
    </w:lvl>
    <w:lvl w:ilvl="8">
      <w:start w:val="1"/>
      <w:numFmt w:val="bullet"/>
      <w:lvlText w:val=""/>
      <w:lvlJc w:val="left"/>
      <w:pPr>
        <w:ind w:left="0" w:hanging="0"/>
      </w:pPr>
      <w:rPr>
        <w:rFonts w:ascii="Noto Sans Symbols" w:hAnsi="Noto Sans Symbols" w:cs="Noto Sans Symbols" w:hint="default"/>
        <w:rFonts w:cs="Noto Sans Symbols"/>
      </w:rPr>
    </w:lvl>
  </w:abstractNum>
  <w:abstractNum w:abstractNumI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24ee4"/>
    <w:pPr>
      <w:widowControl/>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Ttulododocumento"/>
    <w:next w:val="Normal"/>
    <w:link w:val="Ttulo1Char"/>
    <w:uiPriority w:val="9"/>
    <w:qFormat/>
    <w:rsid w:val="00624ee4"/>
    <w:pPr>
      <w:spacing w:lineRule="auto" w:line="360" w:before="240" w:after="120"/>
      <w:jc w:val="both"/>
      <w:outlineLvl w:val="0"/>
    </w:pPr>
    <w:rPr>
      <w:rFonts w:ascii="Arial" w:hAnsi="Arial" w:eastAsia="Times New Roman" w:cs="Arial"/>
      <w:b/>
      <w:spacing w:val="0"/>
      <w:kern w:val="0"/>
      <w:sz w:val="24"/>
      <w:szCs w:val="24"/>
      <w:lang w:eastAsia="en-US"/>
    </w:rPr>
  </w:style>
  <w:style w:type="paragraph" w:styleId="Ttulo2">
    <w:name w:val="Heading 2"/>
    <w:basedOn w:val="Normal"/>
    <w:next w:val="Normal"/>
    <w:link w:val="Ttulo2Char"/>
    <w:uiPriority w:val="9"/>
    <w:semiHidden/>
    <w:unhideWhenUsed/>
    <w:qFormat/>
    <w:rsid w:val="00624ee4"/>
    <w:pPr>
      <w:keepNext w:val="true"/>
      <w:keepLines/>
      <w:spacing w:lineRule="auto" w:line="276" w:before="200" w:after="0"/>
      <w:outlineLvl w:val="1"/>
    </w:pPr>
    <w:rPr>
      <w:rFonts w:ascii="Cambria" w:hAnsi="Cambria"/>
      <w:b/>
      <w:bCs/>
      <w:color w:val="4F81BD"/>
      <w:sz w:val="26"/>
      <w:szCs w:val="26"/>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rPr>
  </w:style>
  <w:style w:type="paragraph" w:styleId="Ttulo5">
    <w:name w:val="Heading 5"/>
    <w:basedOn w:val="Normal"/>
    <w:next w:val="Normal"/>
    <w:uiPriority w:val="9"/>
    <w:semiHidden/>
    <w:unhideWhenUsed/>
    <w:qFormat/>
    <w:pPr>
      <w:keepNext w:val="true"/>
      <w:keepLines/>
      <w:spacing w:before="220" w:after="40"/>
      <w:outlineLvl w:val="4"/>
    </w:pPr>
    <w:rPr>
      <w:b/>
      <w:sz w:val="22"/>
      <w:szCs w:val="22"/>
    </w:rPr>
  </w:style>
  <w:style w:type="paragraph" w:styleId="Ttulo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9"/>
    <w:qFormat/>
    <w:rsid w:val="00624ee4"/>
    <w:rPr>
      <w:rFonts w:ascii="Arial" w:hAnsi="Arial" w:eastAsia="Times New Roman" w:cs="Arial"/>
      <w:b/>
      <w:sz w:val="24"/>
      <w:szCs w:val="24"/>
    </w:rPr>
  </w:style>
  <w:style w:type="character" w:styleId="Ttulo2Char" w:customStyle="1">
    <w:name w:val="Título 2 Char"/>
    <w:basedOn w:val="DefaultParagraphFont"/>
    <w:link w:val="Ttulo2"/>
    <w:uiPriority w:val="9"/>
    <w:qFormat/>
    <w:rsid w:val="00624ee4"/>
    <w:rPr>
      <w:rFonts w:ascii="Cambria" w:hAnsi="Cambria" w:eastAsia="Times New Roman" w:cs="Times New Roman"/>
      <w:b/>
      <w:bCs/>
      <w:color w:val="4F81BD"/>
      <w:sz w:val="26"/>
      <w:szCs w:val="26"/>
      <w:lang w:eastAsia="pt-BR"/>
    </w:rPr>
  </w:style>
  <w:style w:type="character" w:styleId="Strong">
    <w:name w:val="Strong"/>
    <w:basedOn w:val="DefaultParagraphFont"/>
    <w:uiPriority w:val="22"/>
    <w:qFormat/>
    <w:rsid w:val="00624ee4"/>
    <w:rPr>
      <w:b/>
      <w:bCs/>
    </w:rPr>
  </w:style>
  <w:style w:type="character" w:styleId="CorpodetextoChar" w:customStyle="1">
    <w:name w:val="Corpo de texto Char"/>
    <w:basedOn w:val="DefaultParagraphFont"/>
    <w:link w:val="Corpodetexto"/>
    <w:semiHidden/>
    <w:qFormat/>
    <w:rsid w:val="00624ee4"/>
    <w:rPr>
      <w:rFonts w:ascii="Times New Roman" w:hAnsi="Times New Roman" w:eastAsia="Times New Roman" w:cs="Times New Roman"/>
      <w:sz w:val="24"/>
      <w:szCs w:val="20"/>
      <w:lang w:eastAsia="pt-BR"/>
    </w:rPr>
  </w:style>
  <w:style w:type="character" w:styleId="TtuloChar" w:customStyle="1">
    <w:name w:val="Título Char"/>
    <w:basedOn w:val="DefaultParagraphFont"/>
    <w:link w:val="Ttulo"/>
    <w:uiPriority w:val="10"/>
    <w:qFormat/>
    <w:rsid w:val="00624ee4"/>
    <w:rPr>
      <w:rFonts w:ascii="Calibri Light" w:hAnsi="Calibri Light" w:eastAsia="" w:cs="" w:asciiTheme="majorHAnsi" w:cstheme="majorBidi" w:eastAsiaTheme="majorEastAsia" w:hAnsiTheme="majorHAnsi"/>
      <w:spacing w:val="-10"/>
      <w:kern w:val="2"/>
      <w:sz w:val="56"/>
      <w:szCs w:val="56"/>
      <w:lang w:eastAsia="pt-BR"/>
    </w:rPr>
  </w:style>
  <w:style w:type="character" w:styleId="CabealhoChar" w:customStyle="1">
    <w:name w:val="Cabeçalho Char"/>
    <w:basedOn w:val="DefaultParagraphFont"/>
    <w:link w:val="Cabealho"/>
    <w:uiPriority w:val="99"/>
    <w:qFormat/>
    <w:rsid w:val="00146c77"/>
    <w:rPr>
      <w:rFonts w:ascii="Times New Roman" w:hAnsi="Times New Roman" w:eastAsia="Times New Roman" w:cs="Times New Roman"/>
      <w:sz w:val="24"/>
      <w:szCs w:val="24"/>
      <w:lang w:eastAsia="pt-BR"/>
    </w:rPr>
  </w:style>
  <w:style w:type="character" w:styleId="RodapChar" w:customStyle="1">
    <w:name w:val="Rodapé Char"/>
    <w:basedOn w:val="DefaultParagraphFont"/>
    <w:link w:val="Rodap"/>
    <w:uiPriority w:val="99"/>
    <w:qFormat/>
    <w:rsid w:val="00146c77"/>
    <w:rPr>
      <w:rFonts w:ascii="Times New Roman" w:hAnsi="Times New Roman" w:eastAsia="Times New Roman" w:cs="Times New Roman"/>
      <w:sz w:val="24"/>
      <w:szCs w:val="24"/>
      <w:lang w:eastAsia="pt-BR"/>
    </w:rPr>
  </w:style>
  <w:style w:type="character" w:styleId="Annotationreference">
    <w:name w:val="annotation reference"/>
    <w:basedOn w:val="DefaultParagraphFont"/>
    <w:uiPriority w:val="99"/>
    <w:semiHidden/>
    <w:unhideWhenUsed/>
    <w:qFormat/>
    <w:rsid w:val="00a13b1d"/>
    <w:rPr>
      <w:sz w:val="16"/>
      <w:szCs w:val="16"/>
    </w:rPr>
  </w:style>
  <w:style w:type="character" w:styleId="TextodecomentrioChar" w:customStyle="1">
    <w:name w:val="Texto de comentário Char"/>
    <w:basedOn w:val="DefaultParagraphFont"/>
    <w:link w:val="Textodecomentrio"/>
    <w:uiPriority w:val="99"/>
    <w:semiHidden/>
    <w:qFormat/>
    <w:rsid w:val="00a13b1d"/>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ssuntodocomentrio"/>
    <w:uiPriority w:val="99"/>
    <w:semiHidden/>
    <w:qFormat/>
    <w:rsid w:val="00a13b1d"/>
    <w:rPr>
      <w:rFonts w:ascii="Times New Roman" w:hAnsi="Times New Roman" w:eastAsia="Times New Roman" w:cs="Times New Roman"/>
      <w:b/>
      <w:bCs/>
      <w:sz w:val="20"/>
      <w:szCs w:val="20"/>
      <w:lang w:eastAsia="pt-BR"/>
    </w:rPr>
  </w:style>
  <w:style w:type="character" w:styleId="TextodebaloChar" w:customStyle="1">
    <w:name w:val="Texto de balão Char"/>
    <w:basedOn w:val="DefaultParagraphFont"/>
    <w:link w:val="Textodebalo"/>
    <w:uiPriority w:val="99"/>
    <w:semiHidden/>
    <w:qFormat/>
    <w:rsid w:val="00a13b1d"/>
    <w:rPr>
      <w:rFonts w:ascii="Segoe UI" w:hAnsi="Segoe UI" w:eastAsia="Times New Roman" w:cs="Segoe UI"/>
      <w:sz w:val="18"/>
      <w:szCs w:val="18"/>
      <w:lang w:eastAsia="pt-BR"/>
    </w:rPr>
  </w:style>
  <w:style w:type="character" w:styleId="LinkdaInternet" w:customStyle="1">
    <w:name w:val="Link da Internet"/>
    <w:basedOn w:val="DefaultParagraphFont"/>
    <w:uiPriority w:val="99"/>
    <w:unhideWhenUsed/>
    <w:rsid w:val="00ca70a1"/>
    <w:rPr>
      <w:color w:val="0000FF"/>
      <w:u w:val="single"/>
    </w:rPr>
  </w:style>
  <w:style w:type="character" w:styleId="MenoPendente1" w:customStyle="1">
    <w:name w:val="Menção Pendente1"/>
    <w:basedOn w:val="DefaultParagraphFont"/>
    <w:uiPriority w:val="99"/>
    <w:semiHidden/>
    <w:unhideWhenUsed/>
    <w:qFormat/>
    <w:rsid w:val="0031259e"/>
    <w:rPr>
      <w:color w:val="605E5C"/>
      <w:shd w:fill="E1DFDD" w:val="clear"/>
    </w:rPr>
  </w:style>
  <w:style w:type="character" w:styleId="Smbolosdenumerao" w:customStyle="1">
    <w:name w:val="Símbolos de numeração"/>
    <w:qFormat/>
    <w:rPr/>
  </w:style>
  <w:style w:type="character" w:styleId="Marcas" w:customStyle="1">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semiHidden/>
    <w:rsid w:val="00624ee4"/>
    <w:pPr/>
    <w:rPr>
      <w:szCs w:val="20"/>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link w:val="TtuloChar"/>
    <w:uiPriority w:val="10"/>
    <w:qFormat/>
    <w:rsid w:val="00624ee4"/>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Caption">
    <w:name w:val="caption"/>
    <w:basedOn w:val="Normal"/>
    <w:next w:val="Normal"/>
    <w:uiPriority w:val="35"/>
    <w:unhideWhenUsed/>
    <w:qFormat/>
    <w:rsid w:val="00d91c9c"/>
    <w:pPr>
      <w:spacing w:before="0" w:after="200"/>
    </w:pPr>
    <w:rPr>
      <w:i/>
      <w:iCs/>
      <w:color w:val="44546A" w:themeColor="text2"/>
      <w:sz w:val="18"/>
      <w:szCs w:val="18"/>
    </w:rPr>
  </w:style>
  <w:style w:type="paragraph" w:styleId="ListParagraph">
    <w:name w:val="List Paragraph"/>
    <w:basedOn w:val="Normal"/>
    <w:qFormat/>
    <w:rsid w:val="00624ee4"/>
    <w:pPr>
      <w:spacing w:before="0" w:after="0"/>
      <w:ind w:left="720" w:hanging="0"/>
      <w:contextualSpacing/>
    </w:pPr>
    <w:rPr/>
  </w:style>
  <w:style w:type="paragraph" w:styleId="Default" w:customStyle="1">
    <w:name w:val="Default"/>
    <w:qFormat/>
    <w:rsid w:val="00624ee4"/>
    <w:pPr>
      <w:widowControl/>
      <w:bidi w:val="0"/>
      <w:spacing w:before="0" w:after="0"/>
      <w:jc w:val="left"/>
    </w:pPr>
    <w:rPr>
      <w:rFonts w:ascii="Times New Roman" w:hAnsi="Times New Roman" w:eastAsia="Times New Roman" w:cs="Times New Roman"/>
      <w:color w:val="000000"/>
      <w:kern w:val="0"/>
      <w:sz w:val="24"/>
      <w:szCs w:val="24"/>
      <w:lang w:val="pt-BR" w:eastAsia="pt-BR" w:bidi="ar-SA"/>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146c77"/>
    <w:pPr>
      <w:tabs>
        <w:tab w:val="clear" w:pos="720"/>
        <w:tab w:val="center" w:pos="4252" w:leader="none"/>
        <w:tab w:val="right" w:pos="8504" w:leader="none"/>
      </w:tabs>
    </w:pPr>
    <w:rPr/>
  </w:style>
  <w:style w:type="paragraph" w:styleId="Rodap">
    <w:name w:val="Footer"/>
    <w:basedOn w:val="Normal"/>
    <w:link w:val="RodapChar"/>
    <w:uiPriority w:val="99"/>
    <w:unhideWhenUsed/>
    <w:rsid w:val="00146c77"/>
    <w:pPr>
      <w:tabs>
        <w:tab w:val="clear" w:pos="720"/>
        <w:tab w:val="center" w:pos="4252" w:leader="none"/>
        <w:tab w:val="right" w:pos="8504" w:leader="none"/>
      </w:tabs>
    </w:pPr>
    <w:rPr/>
  </w:style>
  <w:style w:type="paragraph" w:styleId="Citacao" w:customStyle="1">
    <w:name w:val="citacao"/>
    <w:basedOn w:val="Normal"/>
    <w:qFormat/>
    <w:rsid w:val="008a481c"/>
    <w:pPr>
      <w:spacing w:beforeAutospacing="1" w:afterAutospacing="1"/>
    </w:pPr>
    <w:rPr/>
  </w:style>
  <w:style w:type="paragraph" w:styleId="Annotationtext">
    <w:name w:val="annotation text"/>
    <w:basedOn w:val="Normal"/>
    <w:link w:val="TextodecomentrioChar"/>
    <w:uiPriority w:val="99"/>
    <w:semiHidden/>
    <w:unhideWhenUsed/>
    <w:qFormat/>
    <w:rsid w:val="00a13b1d"/>
    <w:pPr/>
    <w:rPr>
      <w:sz w:val="20"/>
      <w:szCs w:val="20"/>
    </w:rPr>
  </w:style>
  <w:style w:type="paragraph" w:styleId="Annotationsubject">
    <w:name w:val="annotation subject"/>
    <w:basedOn w:val="Annotationtext"/>
    <w:next w:val="Annotationtext"/>
    <w:link w:val="AssuntodocomentrioChar"/>
    <w:uiPriority w:val="99"/>
    <w:semiHidden/>
    <w:unhideWhenUsed/>
    <w:qFormat/>
    <w:rsid w:val="00a13b1d"/>
    <w:pPr/>
    <w:rPr>
      <w:b/>
      <w:bCs/>
    </w:rPr>
  </w:style>
  <w:style w:type="paragraph" w:styleId="BalloonText">
    <w:name w:val="Balloon Text"/>
    <w:basedOn w:val="Normal"/>
    <w:link w:val="TextodebaloChar"/>
    <w:uiPriority w:val="99"/>
    <w:semiHidden/>
    <w:unhideWhenUsed/>
    <w:qFormat/>
    <w:rsid w:val="00a13b1d"/>
    <w:pPr/>
    <w:rPr>
      <w:rFonts w:ascii="Segoe UI" w:hAnsi="Segoe UI" w:cs="Segoe UI"/>
      <w:sz w:val="18"/>
      <w:szCs w:val="18"/>
    </w:rPr>
  </w:style>
  <w:style w:type="paragraph" w:styleId="Recuodecorpodetexto21" w:customStyle="1">
    <w:name w:val="Recuo de corpo de texto 21"/>
    <w:basedOn w:val="Normal"/>
    <w:qFormat/>
    <w:rsid w:val="00a13b1d"/>
    <w:pPr>
      <w:suppressAutoHyphens w:val="true"/>
      <w:ind w:firstLine="540"/>
    </w:pPr>
    <w:rPr>
      <w:sz w:val="20"/>
      <w:szCs w:val="20"/>
      <w:lang w:eastAsia="zh-CN"/>
    </w:rPr>
  </w:style>
  <w:style w:type="paragraph" w:styleId="Revision">
    <w:name w:val="Revision"/>
    <w:uiPriority w:val="99"/>
    <w:semiHidden/>
    <w:qFormat/>
    <w:rsid w:val="00d469af"/>
    <w:pPr>
      <w:widowControl/>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Subttu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NormalWeb">
    <w:name w:val="Normal (Web)"/>
    <w:basedOn w:val="Normal"/>
    <w:uiPriority w:val="99"/>
    <w:semiHidden/>
    <w:unhideWhenUsed/>
    <w:qFormat/>
    <w:rsid w:val="00de5e51"/>
    <w:pPr>
      <w:spacing w:beforeAutospacing="1" w:afterAutospacing="1"/>
    </w:pPr>
    <w:rPr/>
  </w:style>
  <w:style w:type="numbering" w:styleId="NoList" w:default="1">
    <w:name w:val="No List"/>
    <w:uiPriority w:val="99"/>
    <w:semiHidden/>
    <w:unhideWhenUsed/>
    <w:qFormat/>
  </w:style>
  <w:style w:type="numbering" w:styleId="Numerao123" w:customStyle="1">
    <w:name w:val="Numeração 123"/>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styleId="Tabelacomgrade">
    <w:name w:val="Table Grid"/>
    <w:basedOn w:val="Tabela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iica.org.br/PT/NODE/75" TargetMode="Externa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gq6Y94S5CJZIBkbuWfOt7tV5C9DA==">AMUW2mU29hYGxs0qU2brzGMwUrujumrIQj5qlpdF7E9Rk7MTLMgM0StRcLb1xu8NeEz1DTD+VfFNC1XCOiMrYhequ9imIpzkwpdoyZG8WWxe8okv0Kf9Ur62l9vlMCUQg5GbPlqDkQSos1YWHJnwyJ53gdqwEdfjKGd7guFGJOn1ex7r/OrnKGwoL2fwBibC96/vxJ7KRlN8F1BrBXNRqCXhk7/KzSD+Ig==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LibreOffice/6.4.3.2$Windows_X86_64 LibreOffice_project/747b5d0ebf89f41c860ec2a39efd7cb15b54f2d8</Application>
  <Pages>9</Pages>
  <Words>3543</Words>
  <Characters>20431</Characters>
  <CharactersWithSpaces>23781</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2021-09-30T14:24:00Z</dcterms:created>
  <dc:creator>Regis Oliveira</dc:creator>
  <dc:description/>
  <dc:language>pt-BR</dc:language>
  <cp:lastModifiedBy>Bruno Luiz Hahn Barreto dos Santos</cp:lastModifiedBy>
  <dcterms:modified xsi:type="dcterms:W3CDTF">2021-09-30T18:41:00Z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0x0101006E012A5A3777A849A28BB3C276353373</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